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11906"/>
            <w:tcBorders>
              <w:top w:val="none" w:color="FFFFFF" w:sz="0"/>
              <w:left w:val="none" w:color="FFFFFF" w:sz="0"/>
              <w:bottom w:val="none" w:color="FFFFFF" w:sz="0"/>
              <w:right w:val="none" w:color="FFFFFF" w:sz="0"/>
            </w:tcBorders>
            <w:shd w:fill="0B2545" w:color="auto" w:val="clear"/>
            <w:tcMar>
              <w:top w:type="dxa" w:w="0"/>
              <w:left w:type="dxa" w:w="0"/>
              <w:bottom w:type="dxa" w:w="0"/>
              <w:right w:type="dxa" w:w="0"/>
            </w:tcMar>
          </w:tcPr>
          <w:p>
            <w:pPr>
              <w:spacing w:after="0" w:before="0"/>
            </w:pPr>
            <w:hyperlink w:history="1" r:id="rIdedu_6vhntwwnpaltvqzle">
              <w:r>
                <w:drawing>
                  <wp:inline distT="0" distB="0" distL="0" distR="0">
                    <wp:extent cx="7562850" cy="10696575"/>
                    <wp:effectExtent t="0" r="0" b="0" l="0"/>
                    <wp:docPr id="1" name="" descr="" title="">
                      <a:hlinkClick xmlns:a="http://schemas.openxmlformats.org/drawingml/2006/main" r:id="rIdedu_6vhntwwnpaltvqzl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a:hlinkClick r:id="rIdedu_6vhntwwnpaltvqzle"/>
                            </pic:cNvPr>
                            <pic:cNvPicPr>
                              <a:picLocks noChangeAspect="1" noChangeArrowheads="1"/>
                            </pic:cNvPicPr>
                          </pic:nvPicPr>
                          <pic:blipFill>
                            <a:blip r:embed="rId7" cstate="none"/>
                            <a:srcRect/>
                            <a:stretch>
                              <a:fillRect/>
                            </a:stretch>
                          </pic:blipFill>
                          <pic:spPr bwMode="auto">
                            <a:xfrm>
                              <a:off x="0" y="0"/>
                              <a:ext cx="7562850" cy="10696575"/>
                            </a:xfrm>
                            <a:prstGeom prst="rect">
                              <a:avLst/>
                            </a:prstGeom>
                          </pic:spPr>
                        </pic:pic>
                      </a:graphicData>
                    </a:graphic>
                  </wp:inline>
                </w:drawing>
              </w:r>
            </w:hyperlink>
          </w:p>
          <w:p>
            <w:r>
              <w:br w:type="page"/>
            </w:r>
          </w:p>
        </w:tc>
      </w:tr>
    </w:tbl>
    <w:p>
      <w:pPr>
        <w:sectPr>
          <w:pgSz w:w="11906" w:h="16838" w:orient="portrait"/>
          <w:pgMar w:top="0" w:right="0" w:bottom="0" w:left="0" w:header="708" w:footer="708" w:gutter="0"/>
          <w:pgNumType/>
          <w:docGrid w:linePitch="360"/>
        </w:sectPr>
      </w:pPr>
    </w:p>
    <w:p>
      <w:pPr>
        <w:spacing w:after="260"/>
      </w:pPr>
      <w:hyperlink w:history="1" r:id="rIdti7jsvfht3lohmbz2-8gb">
        <w:r>
          <w:drawing>
            <wp:inline distT="0" distB="0" distL="0" distR="0">
              <wp:extent cx="1571625" cy="523875"/>
              <wp:effectExtent t="0" r="0" b="0" l="0"/>
              <wp:docPr id="1" name="" descr="" title="">
                <a:hlinkClick xmlns:a="http://schemas.openxmlformats.org/drawingml/2006/main" r:id="rIdti7jsvfht3lohmbz2-8g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a:hlinkClick r:id="rIdti7jsvfht3lohmbz2-8gb"/>
                      </pic:cNvPr>
                      <pic:cNvPicPr>
                        <a:picLocks noChangeAspect="1" noChangeArrowheads="1"/>
                      </pic:cNvPicPr>
                    </pic:nvPicPr>
                    <pic:blipFill>
                      <a:blip r:embed="rId8" cstate="none"/>
                      <a:srcRect/>
                      <a:stretch>
                        <a:fillRect/>
                      </a:stretch>
                    </pic:blipFill>
                    <pic:spPr bwMode="auto">
                      <a:xfrm>
                        <a:off x="0" y="0"/>
                        <a:ext cx="1571625" cy="523875"/>
                      </a:xfrm>
                      <a:prstGeom prst="rect">
                        <a:avLst/>
                      </a:prstGeom>
                    </pic:spPr>
                  </pic:pic>
                </a:graphicData>
              </a:graphic>
            </wp:inline>
          </w:drawing>
        </w:r>
      </w:hyperlink>
    </w:p>
    <w:p>
      <w:pPr>
        <w:spacing w:after="60"/>
      </w:pPr>
      <w:r>
        <w:rPr>
          <w:rFonts w:ascii="Calibri" w:cs="Calibri" w:eastAsia="Calibri" w:hAnsi="Calibri"/>
          <w:b/>
          <w:bCs/>
          <w:color w:val="0E8F86"/>
          <w:spacing w:val="20"/>
          <w:sz w:val="18"/>
          <w:szCs w:val="18"/>
        </w:rPr>
        <w:t xml:space="preserve">THE PROBLEM</w:t>
      </w:r>
    </w:p>
    <w:p>
      <w:pPr>
        <w:pStyle w:val="Heading1"/>
        <w:spacing w:after="140" w:before="260"/>
      </w:pPr>
      <w:r>
        <w:rPr>
          <w:rFonts w:ascii="Calibri" w:cs="Calibri" w:eastAsia="Calibri" w:hAnsi="Calibri"/>
          <w:b/>
          <w:bCs/>
          <w:color w:val="0B2545"/>
          <w:sz w:val="30"/>
          <w:szCs w:val="30"/>
        </w:rPr>
        <w:t xml:space="preserve">Car ownership should be a delight and not a second job</w:t>
      </w:r>
    </w:p>
    <w:p>
      <w:pPr>
        <w:spacing w:after="140" w:line="276"/>
      </w:pPr>
      <w:r>
        <w:rPr>
          <w:rFonts w:ascii="Calibri" w:cs="Calibri" w:eastAsia="Calibri" w:hAnsi="Calibri"/>
          <w:b w:val="false"/>
          <w:bCs w:val="false"/>
          <w:i w:val="false"/>
          <w:iCs w:val="false"/>
          <w:color w:val="333333"/>
          <w:sz w:val="21"/>
          <w:szCs w:val="21"/>
        </w:rPr>
        <w:t xml:space="preserve">Between tracking rego renewals, chasing insurance and eSafety dates, guessing at dashboard warning lights, and remembering to actually book the car in — vehicle upkeep quietly eats hours, and small mistakes cost real money in fines, breakdowns and lost resale value. For a household with two cars or a small business running three, it multiplies fast.</w:t>
      </w:r>
    </w:p>
    <w:p>
      <w:pPr>
        <w:pBdr>
          <w:bottom w:val="single" w:color="12B4A8" w:sz="6" w:space="1"/>
        </w:pBdr>
        <w:spacing w:after="200"/>
      </w:pPr>
    </w:p>
    <w:p>
      <w:pPr>
        <w:spacing w:after="60"/>
      </w:pPr>
      <w:r>
        <w:rPr>
          <w:rFonts w:ascii="Calibri" w:cs="Calibri" w:eastAsia="Calibri" w:hAnsi="Calibri"/>
          <w:b/>
          <w:bCs/>
          <w:color w:val="0E8F86"/>
          <w:spacing w:val="20"/>
          <w:sz w:val="18"/>
          <w:szCs w:val="18"/>
        </w:rPr>
        <w:t xml:space="preserve">THE SOLUTION</w:t>
      </w:r>
    </w:p>
    <w:p>
      <w:pPr>
        <w:pStyle w:val="Heading1"/>
        <w:spacing w:after="140" w:before="260"/>
      </w:pPr>
      <w:r>
        <w:rPr>
          <w:rFonts w:ascii="Calibri" w:cs="Calibri" w:eastAsia="Calibri" w:hAnsi="Calibri"/>
          <w:b/>
          <w:bCs/>
          <w:color w:val="0B2545"/>
          <w:sz w:val="30"/>
          <w:szCs w:val="30"/>
        </w:rPr>
        <w:t xml:space="preserve">A system that watches, decides, books and repairs — automatically</w:t>
      </w:r>
    </w:p>
    <w:p>
      <w:pPr>
        <w:spacing w:after="140" w:line="276"/>
      </w:pPr>
      <w:r>
        <w:rPr>
          <w:rFonts w:ascii="Calibri" w:cs="Calibri" w:eastAsia="Calibri" w:hAnsi="Calibri"/>
          <w:b w:val="false"/>
          <w:bCs w:val="false"/>
          <w:i w:val="false"/>
          <w:iCs w:val="false"/>
          <w:color w:val="333333"/>
          <w:sz w:val="21"/>
          <w:szCs w:val="21"/>
        </w:rPr>
        <w:t xml:space="preserve">Ikalypso's CarSentry system runs on an Intelligent A.I. Service engine that connects to your vehicle's onboard diagnostics (DTC) and telemetry, continuously reading engine, emissions and performance data in the background. The moment a fault code or irregular behaviour appears, the Intelligent A.I. Service interprets it, matches it to your nominated mechanic or service centre, and books the appointment — before it becomes a breakdown. No app-checking, no phone calls, no guesswork.</w:t>
      </w:r>
    </w:p>
    <w:p>
      <w:pPr>
        <w:spacing w:after="220" w:before="200"/>
      </w:pPr>
    </w:p>
    <w:tbl>
      <w:tblPr>
        <w:tblW w:type="dxa" w:w="9350"/>
        <w:tblBorders>
          <w:top w:val="none" w:color="FFFFFF" w:sz="0"/>
          <w:left w:val="none" w:color="FFFFFF" w:sz="0"/>
          <w:bottom w:val="none" w:color="FFFFFF" w:sz="0"/>
          <w:right w:val="none" w:color="FFFFFF" w:sz="0"/>
          <w:insideH w:val="single" w:color="auto" w:sz="4"/>
          <w:insideV w:val="single" w:color="auto" w:sz="4"/>
        </w:tblBorders>
      </w:tblPr>
      <w:tblGrid>
        <w:gridCol w:w="2337"/>
        <w:gridCol w:w="2338"/>
        <w:gridCol w:w="2338"/>
        <w:gridCol w:w="2337"/>
      </w:tblGrid>
      <w:tr>
        <w:tc>
          <w:tcPr>
            <w:tcW w:type="dxa" w:w="2400"/>
            <w:tcBorders>
              <w:top w:val="none" w:color="FFFFFF" w:sz="0"/>
              <w:left w:val="none" w:color="FFFFFF" w:sz="0"/>
              <w:bottom w:val="none" w:color="FFFFFF" w:sz="0"/>
              <w:right w:val="none" w:color="FFFFFF" w:sz="0"/>
            </w:tcBorders>
            <w:vAlign w:val="center"/>
          </w:tcPr>
          <w:p>
            <w:pPr>
              <w:spacing w:after="20"/>
              <w:jc w:val="center"/>
            </w:pPr>
            <w:r>
              <w:rPr>
                <w:rFonts w:ascii="Calibri" w:cs="Calibri" w:eastAsia="Calibri" w:hAnsi="Calibri"/>
                <w:b/>
                <w:bCs/>
                <w:color w:val="0E8F86"/>
                <w:sz w:val="30"/>
                <w:szCs w:val="30"/>
              </w:rPr>
              <w:t xml:space="preserve">24/7</w:t>
            </w:r>
          </w:p>
          <w:p>
            <w:pPr>
              <w:spacing w:after="0"/>
              <w:jc w:val="center"/>
            </w:pPr>
            <w:r>
              <w:rPr>
                <w:rFonts w:ascii="Calibri" w:cs="Calibri" w:eastAsia="Calibri" w:hAnsi="Calibri"/>
                <w:color w:val="6B7280"/>
                <w:sz w:val="16"/>
                <w:szCs w:val="16"/>
              </w:rPr>
              <w:t xml:space="preserve">Live monitoring</w:t>
            </w:r>
          </w:p>
        </w:tc>
        <w:tc>
          <w:tcPr>
            <w:tcW w:type="dxa" w:w="2400"/>
            <w:tcBorders>
              <w:top w:val="none" w:color="FFFFFF" w:sz="0"/>
              <w:left w:val="none" w:color="FFFFFF" w:sz="0"/>
              <w:bottom w:val="none" w:color="FFFFFF" w:sz="0"/>
              <w:right w:val="none" w:color="FFFFFF" w:sz="0"/>
            </w:tcBorders>
            <w:vAlign w:val="center"/>
          </w:tcPr>
          <w:p>
            <w:pPr>
              <w:spacing w:after="20"/>
              <w:jc w:val="center"/>
            </w:pPr>
            <w:r>
              <w:rPr>
                <w:rFonts w:ascii="Calibri" w:cs="Calibri" w:eastAsia="Calibri" w:hAnsi="Calibri"/>
                <w:b/>
                <w:bCs/>
                <w:color w:val="0E8F86"/>
                <w:sz w:val="30"/>
                <w:szCs w:val="30"/>
              </w:rPr>
              <w:t xml:space="preserve">100%</w:t>
            </w:r>
          </w:p>
          <w:p>
            <w:pPr>
              <w:spacing w:after="0"/>
              <w:jc w:val="center"/>
            </w:pPr>
            <w:r>
              <w:rPr>
                <w:rFonts w:ascii="Calibri" w:cs="Calibri" w:eastAsia="Calibri" w:hAnsi="Calibri"/>
                <w:color w:val="6B7280"/>
                <w:sz w:val="16"/>
                <w:szCs w:val="16"/>
              </w:rPr>
              <w:t xml:space="preserve">Automated bookings</w:t>
            </w:r>
          </w:p>
        </w:tc>
        <w:tc>
          <w:tcPr>
            <w:tcW w:type="dxa" w:w="2400"/>
            <w:tcBorders>
              <w:top w:val="none" w:color="FFFFFF" w:sz="0"/>
              <w:left w:val="none" w:color="FFFFFF" w:sz="0"/>
              <w:bottom w:val="none" w:color="FFFFFF" w:sz="0"/>
              <w:right w:val="none" w:color="FFFFFF" w:sz="0"/>
            </w:tcBorders>
            <w:vAlign w:val="center"/>
          </w:tcPr>
          <w:p>
            <w:pPr>
              <w:spacing w:after="20"/>
              <w:jc w:val="center"/>
            </w:pPr>
            <w:r>
              <w:rPr>
                <w:rFonts w:ascii="Calibri" w:cs="Calibri" w:eastAsia="Calibri" w:hAnsi="Calibri"/>
                <w:b/>
                <w:bCs/>
                <w:color w:val="0E8F86"/>
                <w:sz w:val="30"/>
                <w:szCs w:val="30"/>
              </w:rPr>
              <w:t xml:space="preserve">1–3+</w:t>
            </w:r>
          </w:p>
          <w:p>
            <w:pPr>
              <w:spacing w:after="20"/>
              <w:jc w:val="center"/>
            </w:pPr>
            <w:r>
              <w:rPr>
                <w:rFonts w:ascii="Calibri" w:cs="Calibri" w:eastAsia="Calibri" w:hAnsi="Calibri"/>
                <w:color w:val="6B7280"/>
                <w:sz w:val="16"/>
                <w:szCs w:val="16"/>
              </w:rPr>
              <w:t xml:space="preserve">Vehicles covered</w:t>
            </w:r>
          </w:p>
          <w:p>
            <w:pPr>
              <w:jc w:val="center"/>
            </w:pPr>
            <w:r>
              <w:rPr>
                <w:rFonts w:ascii="Calibri" w:cs="Calibri" w:eastAsia="Calibri" w:hAnsi="Calibri"/>
                <w:i/>
                <w:iCs/>
                <w:color w:val="9AA1AA"/>
                <w:sz w:val="12"/>
                <w:szCs w:val="12"/>
              </w:rPr>
              <w:t xml:space="preserve">targeted, not capped</w:t>
            </w:r>
          </w:p>
        </w:tc>
        <w:tc>
          <w:tcPr>
            <w:tcW w:type="dxa" w:w="2400"/>
            <w:tcBorders>
              <w:top w:val="none" w:color="FFFFFF" w:sz="0"/>
              <w:left w:val="none" w:color="FFFFFF" w:sz="0"/>
              <w:bottom w:val="none" w:color="FFFFFF" w:sz="0"/>
              <w:right w:val="none" w:color="FFFFFF" w:sz="0"/>
            </w:tcBorders>
            <w:vAlign w:val="center"/>
          </w:tcPr>
          <w:p>
            <w:pPr>
              <w:spacing w:after="20"/>
              <w:jc w:val="center"/>
            </w:pPr>
            <w:r>
              <w:rPr>
                <w:rFonts w:ascii="Calibri" w:cs="Calibri" w:eastAsia="Calibri" w:hAnsi="Calibri"/>
                <w:b/>
                <w:bCs/>
                <w:color w:val="0E8F86"/>
                <w:sz w:val="30"/>
                <w:szCs w:val="30"/>
              </w:rPr>
              <w:t xml:space="preserve">0</w:t>
            </w:r>
          </w:p>
          <w:p>
            <w:pPr>
              <w:spacing w:after="0"/>
              <w:jc w:val="center"/>
            </w:pPr>
            <w:r>
              <w:rPr>
                <w:rFonts w:ascii="Calibri" w:cs="Calibri" w:eastAsia="Calibri" w:hAnsi="Calibri"/>
                <w:color w:val="6B7280"/>
                <w:sz w:val="16"/>
                <w:szCs w:val="16"/>
              </w:rPr>
              <w:t xml:space="preserve">Missed renewals</w:t>
            </w:r>
          </w:p>
        </w:tc>
      </w:tr>
    </w:tbl>
    <w:p>
      <w:pPr>
        <w:spacing w:after="0" w:before="28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200"/>
        <w:gridCol w:w="5150"/>
      </w:tblGrid>
      <w:tr>
        <w:tc>
          <w:tcPr>
            <w:tcW w:type="dxa" w:w="4200"/>
            <w:tcBorders>
              <w:top w:val="none" w:color="FFFFFF" w:sz="0"/>
              <w:left w:val="none" w:color="FFFFFF" w:sz="0"/>
              <w:bottom w:val="none" w:color="FFFFFF" w:sz="0"/>
              <w:right w:val="none" w:color="FFFFFF" w:sz="0"/>
            </w:tcBorders>
            <w:tcMar>
              <w:top w:type="dxa" w:w="0"/>
              <w:left w:type="dxa" w:w="0"/>
              <w:bottom w:type="dxa" w:w="0"/>
              <w:right w:type="dxa" w:w="180"/>
            </w:tcMar>
            <w:vAlign w:val="top"/>
          </w:tcPr>
          <w:p>
            <w:r>
              <w:drawing>
                <wp:inline distT="0" distB="0" distL="0" distR="0">
                  <wp:extent cx="2857500" cy="2143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2143125"/>
                          </a:xfrm>
                          <a:prstGeom prst="rect">
                            <a:avLst/>
                          </a:prstGeom>
                        </pic:spPr>
                      </pic:pic>
                    </a:graphicData>
                  </a:graphic>
                </wp:inline>
              </w:drawing>
            </w:r>
          </w:p>
          <w:p>
            <w:pPr>
              <w:spacing w:after="0" w:before="90"/>
            </w:pPr>
            <w:r>
              <w:rPr>
                <w:rFonts w:ascii="Calibri" w:cs="Calibri" w:eastAsia="Calibri" w:hAnsi="Calibri"/>
                <w:i/>
                <w:iCs/>
                <w:color w:val="6B7280"/>
                <w:sz w:val="15"/>
                <w:szCs w:val="15"/>
              </w:rPr>
              <w:t xml:space="preserve">Fault codes read straight from the vehicle, matched by our Intelligent A.I. Service to the right fix and the right centre.</w:t>
            </w:r>
          </w:p>
        </w:tc>
        <w:tc>
          <w:tcPr>
            <w:tcW w:type="dxa" w:w="5150"/>
            <w:tcBorders>
              <w:top w:val="none" w:color="FFFFFF" w:sz="0"/>
              <w:left w:val="none" w:color="FFFFFF" w:sz="0"/>
              <w:bottom w:val="none" w:color="FFFFFF" w:sz="0"/>
              <w:right w:val="none" w:color="FFFFFF" w:sz="0"/>
            </w:tcBorders>
            <w:tcMar>
              <w:top w:type="dxa" w:w="0"/>
              <w:left w:type="dxa" w:w="180"/>
              <w:bottom w:type="dxa" w:w="0"/>
              <w:right w:type="dxa" w:w="0"/>
            </w:tcMar>
            <w:vAlign w:val="top"/>
          </w:tcPr>
          <w:p>
            <w:pPr>
              <w:spacing w:after="60"/>
            </w:pPr>
            <w:r>
              <w:rPr>
                <w:rFonts w:ascii="Calibri" w:cs="Calibri" w:eastAsia="Calibri" w:hAnsi="Calibri"/>
                <w:b/>
                <w:bCs/>
                <w:color w:val="0E8F86"/>
                <w:spacing w:val="15"/>
                <w:sz w:val="16"/>
                <w:szCs w:val="16"/>
              </w:rPr>
              <w:t xml:space="preserve">BEYOND THE WORKSHOP VISIT</w:t>
            </w:r>
          </w:p>
          <w:p>
            <w:pPr>
              <w:spacing w:after="100"/>
            </w:pPr>
            <w:r>
              <w:rPr>
                <w:rFonts w:ascii="Calibri" w:cs="Calibri" w:eastAsia="Calibri" w:hAnsi="Calibri"/>
                <w:b/>
                <w:bCs/>
                <w:color w:val="0B2545"/>
                <w:sz w:val="23"/>
                <w:szCs w:val="23"/>
              </w:rPr>
              <w:t xml:space="preserve">Diagnosis, without the drive-in</w:t>
            </w:r>
          </w:p>
          <w:p>
            <w:pPr>
              <w:spacing w:after="0"/>
            </w:pPr>
            <w:r>
              <w:rPr>
                <w:rFonts w:ascii="Calibri" w:cs="Calibri" w:eastAsia="Calibri" w:hAnsi="Calibri"/>
                <w:color w:val="333333"/>
                <w:sz w:val="19"/>
                <w:szCs w:val="19"/>
              </w:rPr>
              <w:t xml:space="preserve">Through connected IoT telemetry, fault diagnosis is no longer limited to an on-site inspection. Our Intelligent A.I. Service continuously monitors and analyses thousands of DTC error codes in real time, surfacing exactly which fault or concern needs attention and guiding the vehicle back to optimum, on-road performance — long before it would otherwise be caught on a workshop visit.</w:t>
            </w:r>
          </w:p>
        </w:tc>
      </w:tr>
    </w:tbl>
    <w:p>
      <w:pPr>
        <w:spacing w:after="0" w:before="28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7"/>
        <w:gridCol w:w="3117"/>
        <w:gridCol w:w="3116"/>
      </w:tblGrid>
      <w:tr>
        <w:tc>
          <w:tcPr>
            <w:tcW w:type="dxa" w:w="3117"/>
            <w:tcBorders>
              <w:top w:val="single" w:color="E2E5E8" w:sz="4"/>
              <w:left w:val="single" w:color="E2E5E8" w:sz="4"/>
              <w:bottom w:val="single" w:color="E2E5E8" w:sz="4"/>
              <w:right w:val="single" w:color="E2E5E8" w:sz="4"/>
            </w:tcBorders>
            <w:shd w:fill="F3F6F7" w:color="auto" w:val="clear"/>
            <w:tcMar>
              <w:top w:type="dxa" w:w="140"/>
              <w:left w:type="dxa" w:w="160"/>
              <w:bottom w:type="dxa" w:w="140"/>
              <w:right w:type="dxa" w:w="160"/>
            </w:tcMar>
            <w:vAlign w:val="center"/>
          </w:tcPr>
          <w:p>
            <w:pPr>
              <w:spacing w:after="30"/>
            </w:pPr>
            <w:r>
              <w:rPr>
                <w:rFonts w:ascii="Calibri" w:cs="Calibri" w:eastAsia="Calibri" w:hAnsi="Calibri"/>
                <w:b/>
                <w:bCs/>
                <w:color w:val="0E8F86"/>
                <w:sz w:val="26"/>
                <w:szCs w:val="26"/>
              </w:rPr>
              <w:t xml:space="preserve">15,000+</w:t>
            </w:r>
          </w:p>
          <w:p>
            <w:r>
              <w:rPr>
                <w:rFonts w:ascii="Calibri" w:cs="Calibri" w:eastAsia="Calibri" w:hAnsi="Calibri"/>
                <w:color w:val="333333"/>
                <w:sz w:val="16"/>
                <w:szCs w:val="16"/>
              </w:rPr>
              <w:t xml:space="preserve">DTC error codes recognised &amp; analysed</w:t>
            </w:r>
          </w:p>
        </w:tc>
        <w:tc>
          <w:tcPr>
            <w:tcW w:type="dxa" w:w="3117"/>
            <w:tcBorders>
              <w:top w:val="single" w:color="E2E5E8" w:sz="4"/>
              <w:left w:val="single" w:color="E2E5E8" w:sz="4"/>
              <w:bottom w:val="single" w:color="E2E5E8" w:sz="4"/>
              <w:right w:val="single" w:color="E2E5E8" w:sz="4"/>
            </w:tcBorders>
            <w:shd w:fill="F3F6F7" w:color="auto" w:val="clear"/>
            <w:tcMar>
              <w:top w:type="dxa" w:w="140"/>
              <w:left w:type="dxa" w:w="160"/>
              <w:bottom w:type="dxa" w:w="140"/>
              <w:right w:type="dxa" w:w="160"/>
            </w:tcMar>
            <w:vAlign w:val="center"/>
          </w:tcPr>
          <w:p>
            <w:pPr>
              <w:spacing w:after="30"/>
            </w:pPr>
            <w:r>
              <w:rPr>
                <w:rFonts w:ascii="Calibri" w:cs="Calibri" w:eastAsia="Calibri" w:hAnsi="Calibri"/>
                <w:b/>
                <w:bCs/>
                <w:color w:val="0E8F86"/>
                <w:sz w:val="26"/>
                <w:szCs w:val="26"/>
              </w:rPr>
              <w:t xml:space="preserve">Real-time</w:t>
            </w:r>
          </w:p>
          <w:p>
            <w:r>
              <w:rPr>
                <w:rFonts w:ascii="Calibri" w:cs="Calibri" w:eastAsia="Calibri" w:hAnsi="Calibri"/>
                <w:color w:val="333333"/>
                <w:sz w:val="16"/>
                <w:szCs w:val="16"/>
              </w:rPr>
              <w:t xml:space="preserve">Fault interpretation, not periodic checks</w:t>
            </w:r>
          </w:p>
        </w:tc>
        <w:tc>
          <w:tcPr>
            <w:tcW w:type="dxa" w:w="3117"/>
            <w:tcBorders>
              <w:top w:val="single" w:color="E2E5E8" w:sz="4"/>
              <w:left w:val="single" w:color="E2E5E8" w:sz="4"/>
              <w:bottom w:val="single" w:color="E2E5E8" w:sz="4"/>
              <w:right w:val="single" w:color="E2E5E8" w:sz="4"/>
            </w:tcBorders>
            <w:shd w:fill="F3F6F7" w:color="auto" w:val="clear"/>
            <w:tcMar>
              <w:top w:type="dxa" w:w="140"/>
              <w:left w:type="dxa" w:w="160"/>
              <w:bottom w:type="dxa" w:w="140"/>
              <w:right w:type="dxa" w:w="160"/>
            </w:tcMar>
            <w:vAlign w:val="center"/>
          </w:tcPr>
          <w:p>
            <w:pPr>
              <w:spacing w:after="30"/>
            </w:pPr>
            <w:r>
              <w:rPr>
                <w:rFonts w:ascii="Calibri" w:cs="Calibri" w:eastAsia="Calibri" w:hAnsi="Calibri"/>
                <w:b/>
                <w:bCs/>
                <w:color w:val="0E8F86"/>
                <w:sz w:val="26"/>
                <w:szCs w:val="26"/>
              </w:rPr>
              <w:t xml:space="preserve">IoT-connected</w:t>
            </w:r>
          </w:p>
          <w:p>
            <w:r>
              <w:rPr>
                <w:rFonts w:ascii="Calibri" w:cs="Calibri" w:eastAsia="Calibri" w:hAnsi="Calibri"/>
                <w:color w:val="333333"/>
                <w:sz w:val="16"/>
                <w:szCs w:val="16"/>
              </w:rPr>
              <w:t xml:space="preserve">No on-site inspection required to diagnose</w:t>
            </w:r>
          </w:p>
        </w:tc>
      </w:tr>
    </w:tbl>
    <w:p>
      <w:r>
        <w:br w:type="page"/>
      </w:r>
    </w:p>
    <w:p>
      <w:pPr>
        <w:spacing w:after="60"/>
      </w:pPr>
      <w:r>
        <w:rPr>
          <w:rFonts w:ascii="Calibri" w:cs="Calibri" w:eastAsia="Calibri" w:hAnsi="Calibri"/>
          <w:b/>
          <w:bCs/>
          <w:color w:val="0E8F86"/>
          <w:spacing w:val="20"/>
          <w:sz w:val="18"/>
          <w:szCs w:val="18"/>
        </w:rPr>
        <w:t xml:space="preserve">HOW IT WORKS</w:t>
      </w:r>
    </w:p>
    <w:p>
      <w:pPr>
        <w:pStyle w:val="Heading1"/>
        <w:spacing w:after="140" w:before="260"/>
      </w:pPr>
      <w:r>
        <w:rPr>
          <w:rFonts w:ascii="Calibri" w:cs="Calibri" w:eastAsia="Calibri" w:hAnsi="Calibri"/>
          <w:b/>
          <w:bCs/>
          <w:color w:val="0B2545"/>
          <w:sz w:val="30"/>
          <w:szCs w:val="30"/>
        </w:rPr>
        <w:t xml:space="preserve">Eight systems, working as one</w:t>
      </w:r>
    </w:p>
    <w:tbl>
      <w:tblPr>
        <w:tblW w:type="dxa" w:w="9350"/>
        <w:tblBorders>
          <w:top w:val="none" w:color="FFFFFF" w:sz="0"/>
          <w:left w:val="none" w:color="FFFFFF" w:sz="0"/>
          <w:bottom w:val="none" w:color="FFFFFF" w:sz="0"/>
          <w:right w:val="none" w:color="FFFFFF" w:sz="0"/>
          <w:insideH w:val="single" w:color="auto" w:sz="4"/>
          <w:insideV w:val="single" w:color="auto" w:sz="4"/>
        </w:tblBorders>
      </w:tblPr>
      <w:tblGrid>
        <w:gridCol w:w="520"/>
        <w:gridCol w:w="8830"/>
      </w:tblGrid>
      <w:tr>
        <w:tc>
          <w:tcPr>
            <w:tcW w:type="dxa" w:w="520"/>
            <w:tcBorders>
              <w:top w:val="none" w:color="FFFFFF" w:sz="0"/>
              <w:left w:val="none" w:color="FFFFFF" w:sz="0"/>
              <w:bottom w:val="none" w:color="FFFFFF" w:sz="0"/>
              <w:right w:val="none" w:color="FFFFFF" w:sz="0"/>
            </w:tcBorders>
            <w:vAlign w:val="top"/>
          </w:tcPr>
          <w:p>
            <w:r>
              <w:rPr>
                <w:rFonts w:ascii="Calibri" w:cs="Calibri" w:eastAsia="Calibri" w:hAnsi="Calibri"/>
                <w:b/>
                <w:bCs/>
                <w:color w:val="12B4A8"/>
                <w:sz w:val="28"/>
                <w:szCs w:val="28"/>
              </w:rPr>
              <w:t xml:space="preserve">01</w:t>
            </w:r>
          </w:p>
        </w:tc>
        <w:tc>
          <w:tcPr>
            <w:tcW w:type="dxa" w:w="8830"/>
            <w:tcBorders>
              <w:top w:val="none" w:color="FFFFFF" w:sz="0"/>
              <w:left w:val="none" w:color="FFFFFF" w:sz="0"/>
              <w:bottom w:val="none" w:color="FFFFFF" w:sz="0"/>
              <w:right w:val="none" w:color="FFFFFF" w:sz="0"/>
            </w:tcBorders>
          </w:tcPr>
          <w:p>
            <w:pPr>
              <w:spacing w:after="60"/>
            </w:pPr>
            <w:r>
              <w:rPr>
                <w:rFonts w:ascii="Calibri" w:cs="Calibri" w:eastAsia="Calibri" w:hAnsi="Calibri"/>
                <w:b/>
                <w:bCs/>
                <w:color w:val="0B2545"/>
                <w:sz w:val="23"/>
                <w:szCs w:val="23"/>
              </w:rPr>
              <w:t xml:space="preserve">AI Diagnostic &amp; Telemetry Monitoring</w:t>
            </w:r>
          </w:p>
          <w:p>
            <w:pPr>
              <w:spacing w:after="200"/>
            </w:pPr>
            <w:r>
              <w:rPr>
                <w:rFonts w:ascii="Calibri" w:cs="Calibri" w:eastAsia="Calibri" w:hAnsi="Calibri"/>
                <w:color w:val="333333"/>
                <w:sz w:val="20"/>
                <w:szCs w:val="20"/>
              </w:rPr>
              <w:t xml:space="preserve">We continuously read your vehicle's DTC (diagnostic trouble codes) and live telemetry — engine health, emissions, battery, sensor behaviour. Anomalies are triaged by AI in real time, not left to flash a dashboard light you might not notice.</w:t>
            </w:r>
          </w:p>
        </w:tc>
      </w:tr>
    </w:tbl>
    <w:tbl>
      <w:tblPr>
        <w:tblW w:type="dxa" w:w="9350"/>
        <w:tblBorders>
          <w:top w:val="none" w:color="FFFFFF" w:sz="0"/>
          <w:left w:val="none" w:color="FFFFFF" w:sz="0"/>
          <w:bottom w:val="none" w:color="FFFFFF" w:sz="0"/>
          <w:right w:val="none" w:color="FFFFFF" w:sz="0"/>
          <w:insideH w:val="single" w:color="auto" w:sz="4"/>
          <w:insideV w:val="single" w:color="auto" w:sz="4"/>
        </w:tblBorders>
      </w:tblPr>
      <w:tblGrid>
        <w:gridCol w:w="520"/>
        <w:gridCol w:w="8830"/>
      </w:tblGrid>
      <w:tr>
        <w:tc>
          <w:tcPr>
            <w:tcW w:type="dxa" w:w="520"/>
            <w:tcBorders>
              <w:top w:val="none" w:color="FFFFFF" w:sz="0"/>
              <w:left w:val="none" w:color="FFFFFF" w:sz="0"/>
              <w:bottom w:val="none" w:color="FFFFFF" w:sz="0"/>
              <w:right w:val="none" w:color="FFFFFF" w:sz="0"/>
            </w:tcBorders>
            <w:vAlign w:val="top"/>
          </w:tcPr>
          <w:p>
            <w:r>
              <w:rPr>
                <w:rFonts w:ascii="Calibri" w:cs="Calibri" w:eastAsia="Calibri" w:hAnsi="Calibri"/>
                <w:b/>
                <w:bCs/>
                <w:color w:val="12B4A8"/>
                <w:sz w:val="28"/>
                <w:szCs w:val="28"/>
              </w:rPr>
              <w:t xml:space="preserve">02</w:t>
            </w:r>
          </w:p>
        </w:tc>
        <w:tc>
          <w:tcPr>
            <w:tcW w:type="dxa" w:w="8830"/>
            <w:tcBorders>
              <w:top w:val="none" w:color="FFFFFF" w:sz="0"/>
              <w:left w:val="none" w:color="FFFFFF" w:sz="0"/>
              <w:bottom w:val="none" w:color="FFFFFF" w:sz="0"/>
              <w:right w:val="none" w:color="FFFFFF" w:sz="0"/>
            </w:tcBorders>
          </w:tcPr>
          <w:p>
            <w:pPr>
              <w:spacing w:after="60"/>
            </w:pPr>
            <w:r>
              <w:rPr>
                <w:rFonts w:ascii="Calibri" w:cs="Calibri" w:eastAsia="Calibri" w:hAnsi="Calibri"/>
                <w:b/>
                <w:bCs/>
                <w:color w:val="0B2545"/>
                <w:sz w:val="23"/>
                <w:szCs w:val="23"/>
              </w:rPr>
              <w:t xml:space="preserve">Automated Service Booking</w:t>
            </w:r>
          </w:p>
          <w:p>
            <w:pPr>
              <w:spacing w:after="200"/>
            </w:pPr>
            <w:r>
              <w:rPr>
                <w:rFonts w:ascii="Calibri" w:cs="Calibri" w:eastAsia="Calibri" w:hAnsi="Calibri"/>
                <w:color w:val="333333"/>
                <w:sz w:val="20"/>
                <w:szCs w:val="20"/>
              </w:rPr>
              <w:t xml:space="preserve">When a fault or service milestone is detected, Ikalypso books the appointment directly with your nominated mechanic or service centre — matched to the fault type, your location and their availability. You get a notification, not a task.</w:t>
            </w:r>
          </w:p>
        </w:tc>
      </w:tr>
    </w:tbl>
    <w:tbl>
      <w:tblPr>
        <w:tblW w:type="dxa" w:w="9350"/>
        <w:tblBorders>
          <w:top w:val="none" w:color="FFFFFF" w:sz="0"/>
          <w:left w:val="none" w:color="FFFFFF" w:sz="0"/>
          <w:bottom w:val="none" w:color="FFFFFF" w:sz="0"/>
          <w:right w:val="none" w:color="FFFFFF" w:sz="0"/>
          <w:insideH w:val="single" w:color="auto" w:sz="4"/>
          <w:insideV w:val="single" w:color="auto" w:sz="4"/>
        </w:tblBorders>
      </w:tblPr>
      <w:tblGrid>
        <w:gridCol w:w="520"/>
        <w:gridCol w:w="8830"/>
      </w:tblGrid>
      <w:tr>
        <w:tc>
          <w:tcPr>
            <w:tcW w:type="dxa" w:w="520"/>
            <w:tcBorders>
              <w:top w:val="none" w:color="FFFFFF" w:sz="0"/>
              <w:left w:val="none" w:color="FFFFFF" w:sz="0"/>
              <w:bottom w:val="none" w:color="FFFFFF" w:sz="0"/>
              <w:right w:val="none" w:color="FFFFFF" w:sz="0"/>
            </w:tcBorders>
            <w:vAlign w:val="top"/>
          </w:tcPr>
          <w:p>
            <w:r>
              <w:rPr>
                <w:rFonts w:ascii="Calibri" w:cs="Calibri" w:eastAsia="Calibri" w:hAnsi="Calibri"/>
                <w:b/>
                <w:bCs/>
                <w:color w:val="12B4A8"/>
                <w:sz w:val="28"/>
                <w:szCs w:val="28"/>
              </w:rPr>
              <w:t xml:space="preserve">03</w:t>
            </w:r>
          </w:p>
        </w:tc>
        <w:tc>
          <w:tcPr>
            <w:tcW w:type="dxa" w:w="8830"/>
            <w:tcBorders>
              <w:top w:val="none" w:color="FFFFFF" w:sz="0"/>
              <w:left w:val="none" w:color="FFFFFF" w:sz="0"/>
              <w:bottom w:val="none" w:color="FFFFFF" w:sz="0"/>
              <w:right w:val="none" w:color="FFFFFF" w:sz="0"/>
            </w:tcBorders>
          </w:tcPr>
          <w:p>
            <w:pPr>
              <w:spacing w:after="60"/>
            </w:pPr>
            <w:r>
              <w:rPr>
                <w:rFonts w:ascii="Calibri" w:cs="Calibri" w:eastAsia="Calibri" w:hAnsi="Calibri"/>
                <w:b/>
                <w:bCs/>
                <w:color w:val="0B2545"/>
                <w:sz w:val="23"/>
                <w:szCs w:val="23"/>
              </w:rPr>
              <w:t xml:space="preserve">24/7 Security, Geofencing &amp; Fuel-Waste Monitoring</w:t>
            </w:r>
          </w:p>
          <w:p>
            <w:pPr>
              <w:spacing w:after="200"/>
            </w:pPr>
            <w:r>
              <w:rPr>
                <w:rFonts w:ascii="Calibri" w:cs="Calibri" w:eastAsia="Calibri" w:hAnsi="Calibri"/>
                <w:color w:val="333333"/>
                <w:sz w:val="20"/>
                <w:szCs w:val="20"/>
              </w:rPr>
              <w:t xml:space="preserve">Set safe zones for home, work, or your fleet depot and get instant alerts if a vehicle leaves them unexpectedly. Every vehicle's live location is available on demand, 24/7. The same feed flags unusual fuel expenditure — extended idling, off-hours movement, or driving patterns that don't match normal use — so you're alerted to waste or unauthorised use as it happens, not at the next fuel-up.</w:t>
            </w:r>
          </w:p>
        </w:tc>
      </w:tr>
    </w:tbl>
    <w:tbl>
      <w:tblPr>
        <w:tblW w:type="dxa" w:w="9350"/>
        <w:tblBorders>
          <w:top w:val="none" w:color="FFFFFF" w:sz="0"/>
          <w:left w:val="none" w:color="FFFFFF" w:sz="0"/>
          <w:bottom w:val="none" w:color="FFFFFF" w:sz="0"/>
          <w:right w:val="none" w:color="FFFFFF" w:sz="0"/>
          <w:insideH w:val="single" w:color="auto" w:sz="4"/>
          <w:insideV w:val="single" w:color="auto" w:sz="4"/>
        </w:tblBorders>
      </w:tblPr>
      <w:tblGrid>
        <w:gridCol w:w="520"/>
        <w:gridCol w:w="8830"/>
      </w:tblGrid>
      <w:tr>
        <w:tc>
          <w:tcPr>
            <w:tcW w:type="dxa" w:w="520"/>
            <w:tcBorders>
              <w:top w:val="none" w:color="FFFFFF" w:sz="0"/>
              <w:left w:val="none" w:color="FFFFFF" w:sz="0"/>
              <w:bottom w:val="none" w:color="FFFFFF" w:sz="0"/>
              <w:right w:val="none" w:color="FFFFFF" w:sz="0"/>
            </w:tcBorders>
            <w:vAlign w:val="top"/>
          </w:tcPr>
          <w:p>
            <w:r>
              <w:rPr>
                <w:rFonts w:ascii="Calibri" w:cs="Calibri" w:eastAsia="Calibri" w:hAnsi="Calibri"/>
                <w:b/>
                <w:bCs/>
                <w:color w:val="12B4A8"/>
                <w:sz w:val="28"/>
                <w:szCs w:val="28"/>
              </w:rPr>
              <w:t xml:space="preserve">04</w:t>
            </w:r>
          </w:p>
        </w:tc>
        <w:tc>
          <w:tcPr>
            <w:tcW w:type="dxa" w:w="8830"/>
            <w:tcBorders>
              <w:top w:val="none" w:color="FFFFFF" w:sz="0"/>
              <w:left w:val="none" w:color="FFFFFF" w:sz="0"/>
              <w:bottom w:val="none" w:color="FFFFFF" w:sz="0"/>
              <w:right w:val="none" w:color="FFFFFF" w:sz="0"/>
            </w:tcBorders>
          </w:tcPr>
          <w:p>
            <w:pPr>
              <w:spacing w:after="60"/>
            </w:pPr>
            <w:r>
              <w:rPr>
                <w:rFonts w:ascii="Calibri" w:cs="Calibri" w:eastAsia="Calibri" w:hAnsi="Calibri"/>
                <w:b/>
                <w:bCs/>
                <w:color w:val="0B2545"/>
                <w:sz w:val="23"/>
                <w:szCs w:val="23"/>
              </w:rPr>
              <w:t xml:space="preserve">Compliance &amp; Renewal Reminders</w:t>
            </w:r>
          </w:p>
          <w:p>
            <w:pPr>
              <w:spacing w:after="200"/>
            </w:pPr>
            <w:r>
              <w:rPr>
                <w:rFonts w:ascii="Calibri" w:cs="Calibri" w:eastAsia="Calibri" w:hAnsi="Calibri"/>
                <w:color w:val="333333"/>
                <w:sz w:val="20"/>
                <w:szCs w:val="20"/>
              </w:rPr>
              <w:t xml:space="preserve">Rego, insurance and eSafety check dates are tracked automatically. Ikalypso alerts you well ahead of due dates — and where linked to your nominated provider, can trigger the renewal or booking itself.</w:t>
            </w:r>
          </w:p>
        </w:tc>
      </w:tr>
    </w:tbl>
    <w:tbl>
      <w:tblPr>
        <w:tblW w:type="dxa" w:w="9350"/>
        <w:tblBorders>
          <w:top w:val="none" w:color="FFFFFF" w:sz="0"/>
          <w:left w:val="none" w:color="FFFFFF" w:sz="0"/>
          <w:bottom w:val="none" w:color="FFFFFF" w:sz="0"/>
          <w:right w:val="none" w:color="FFFFFF" w:sz="0"/>
          <w:insideH w:val="single" w:color="auto" w:sz="4"/>
          <w:insideV w:val="single" w:color="auto" w:sz="4"/>
        </w:tblBorders>
      </w:tblPr>
      <w:tblGrid>
        <w:gridCol w:w="520"/>
        <w:gridCol w:w="8830"/>
      </w:tblGrid>
      <w:tr>
        <w:tc>
          <w:tcPr>
            <w:tcW w:type="dxa" w:w="520"/>
            <w:tcBorders>
              <w:top w:val="none" w:color="FFFFFF" w:sz="0"/>
              <w:left w:val="none" w:color="FFFFFF" w:sz="0"/>
              <w:bottom w:val="none" w:color="FFFFFF" w:sz="0"/>
              <w:right w:val="none" w:color="FFFFFF" w:sz="0"/>
            </w:tcBorders>
            <w:vAlign w:val="top"/>
          </w:tcPr>
          <w:p>
            <w:r>
              <w:rPr>
                <w:rFonts w:ascii="Calibri" w:cs="Calibri" w:eastAsia="Calibri" w:hAnsi="Calibri"/>
                <w:b/>
                <w:bCs/>
                <w:color w:val="12B4A8"/>
                <w:sz w:val="28"/>
                <w:szCs w:val="28"/>
              </w:rPr>
              <w:t xml:space="preserve">05</w:t>
            </w:r>
          </w:p>
        </w:tc>
        <w:tc>
          <w:tcPr>
            <w:tcW w:type="dxa" w:w="8830"/>
            <w:tcBorders>
              <w:top w:val="none" w:color="FFFFFF" w:sz="0"/>
              <w:left w:val="none" w:color="FFFFFF" w:sz="0"/>
              <w:bottom w:val="none" w:color="FFFFFF" w:sz="0"/>
              <w:right w:val="none" w:color="FFFFFF" w:sz="0"/>
            </w:tcBorders>
          </w:tcPr>
          <w:p>
            <w:pPr>
              <w:spacing w:after="60"/>
            </w:pPr>
            <w:r>
              <w:rPr>
                <w:rFonts w:ascii="Calibri" w:cs="Calibri" w:eastAsia="Calibri" w:hAnsi="Calibri"/>
                <w:b/>
                <w:bCs/>
                <w:color w:val="0B2545"/>
                <w:sz w:val="23"/>
                <w:szCs w:val="23"/>
              </w:rPr>
              <w:t xml:space="preserve">Fuel Efficiency &amp; Performance Optimisation</w:t>
            </w:r>
          </w:p>
          <w:p>
            <w:pPr>
              <w:spacing w:after="200"/>
            </w:pPr>
            <w:r>
              <w:rPr>
                <w:rFonts w:ascii="Calibri" w:cs="Calibri" w:eastAsia="Calibri" w:hAnsi="Calibri"/>
                <w:color w:val="333333"/>
                <w:sz w:val="20"/>
                <w:szCs w:val="20"/>
              </w:rPr>
              <w:t xml:space="preserve">Driving and diagnostic patterns are analysed to flag issues that quietly drain fuel economy — underinflated tyres, misfires, sensor drift — so repairs happen while they're still cheap, and your engine stays at optimum performance.</w:t>
            </w:r>
          </w:p>
        </w:tc>
      </w:tr>
    </w:tbl>
    <w:tbl>
      <w:tblPr>
        <w:tblW w:type="dxa" w:w="9350"/>
        <w:tblBorders>
          <w:top w:val="none" w:color="FFFFFF" w:sz="0"/>
          <w:left w:val="none" w:color="FFFFFF" w:sz="0"/>
          <w:bottom w:val="none" w:color="FFFFFF" w:sz="0"/>
          <w:right w:val="none" w:color="FFFFFF" w:sz="0"/>
          <w:insideH w:val="single" w:color="auto" w:sz="4"/>
          <w:insideV w:val="single" w:color="auto" w:sz="4"/>
        </w:tblBorders>
      </w:tblPr>
      <w:tblGrid>
        <w:gridCol w:w="520"/>
        <w:gridCol w:w="8830"/>
      </w:tblGrid>
      <w:tr>
        <w:tc>
          <w:tcPr>
            <w:tcW w:type="dxa" w:w="520"/>
            <w:tcBorders>
              <w:top w:val="none" w:color="FFFFFF" w:sz="0"/>
              <w:left w:val="none" w:color="FFFFFF" w:sz="0"/>
              <w:bottom w:val="none" w:color="FFFFFF" w:sz="0"/>
              <w:right w:val="none" w:color="FFFFFF" w:sz="0"/>
            </w:tcBorders>
            <w:vAlign w:val="top"/>
          </w:tcPr>
          <w:p>
            <w:r>
              <w:rPr>
                <w:rFonts w:ascii="Calibri" w:cs="Calibri" w:eastAsia="Calibri" w:hAnsi="Calibri"/>
                <w:b/>
                <w:bCs/>
                <w:color w:val="12B4A8"/>
                <w:sz w:val="28"/>
                <w:szCs w:val="28"/>
              </w:rPr>
              <w:t xml:space="preserve">06</w:t>
            </w:r>
          </w:p>
        </w:tc>
        <w:tc>
          <w:tcPr>
            <w:tcW w:type="dxa" w:w="8830"/>
            <w:tcBorders>
              <w:top w:val="none" w:color="FFFFFF" w:sz="0"/>
              <w:left w:val="none" w:color="FFFFFF" w:sz="0"/>
              <w:bottom w:val="none" w:color="FFFFFF" w:sz="0"/>
              <w:right w:val="none" w:color="FFFFFF" w:sz="0"/>
            </w:tcBorders>
          </w:tcPr>
          <w:p>
            <w:pPr>
              <w:spacing w:after="60"/>
            </w:pPr>
            <w:r>
              <w:rPr>
                <w:rFonts w:ascii="Calibri" w:cs="Calibri" w:eastAsia="Calibri" w:hAnsi="Calibri"/>
                <w:b/>
                <w:bCs/>
                <w:color w:val="0B2545"/>
                <w:sz w:val="23"/>
                <w:szCs w:val="23"/>
              </w:rPr>
              <w:t xml:space="preserve">Wear &amp; Tear Cover — Optional Add-On</w:t>
            </w:r>
          </w:p>
          <w:p>
            <w:pPr>
              <w:spacing w:after="200"/>
            </w:pPr>
            <w:r>
              <w:rPr>
                <w:rFonts w:ascii="Calibri" w:cs="Calibri" w:eastAsia="Calibri" w:hAnsi="Calibri"/>
                <w:color w:val="333333"/>
                <w:sz w:val="20"/>
                <w:szCs w:val="20"/>
              </w:rPr>
              <w:t xml:space="preserve">Tyres, brakes, wipers, batteries and filters are tracked against real usage data, not just a calendar. Every Ikalypso plan includes the alerts and scheduling for free; add Wear &amp; Tear Cover to fold the parts and labour cost itself into one flat monthly top-up through your nominated centre.</w:t>
            </w:r>
          </w:p>
        </w:tc>
      </w:tr>
    </w:tbl>
    <w:tbl>
      <w:tblPr>
        <w:tblW w:type="dxa" w:w="9350"/>
        <w:tblBorders>
          <w:top w:val="none" w:color="FFFFFF" w:sz="0"/>
          <w:left w:val="none" w:color="FFFFFF" w:sz="0"/>
          <w:bottom w:val="none" w:color="FFFFFF" w:sz="0"/>
          <w:right w:val="none" w:color="FFFFFF" w:sz="0"/>
          <w:insideH w:val="single" w:color="auto" w:sz="4"/>
          <w:insideV w:val="single" w:color="auto" w:sz="4"/>
        </w:tblBorders>
      </w:tblPr>
      <w:tblGrid>
        <w:gridCol w:w="520"/>
        <w:gridCol w:w="8830"/>
      </w:tblGrid>
      <w:tr>
        <w:tc>
          <w:tcPr>
            <w:tcW w:type="dxa" w:w="520"/>
            <w:tcBorders>
              <w:top w:val="none" w:color="FFFFFF" w:sz="0"/>
              <w:left w:val="none" w:color="FFFFFF" w:sz="0"/>
              <w:bottom w:val="none" w:color="FFFFFF" w:sz="0"/>
              <w:right w:val="none" w:color="FFFFFF" w:sz="0"/>
            </w:tcBorders>
            <w:vAlign w:val="top"/>
          </w:tcPr>
          <w:p>
            <w:r>
              <w:rPr>
                <w:rFonts w:ascii="Calibri" w:cs="Calibri" w:eastAsia="Calibri" w:hAnsi="Calibri"/>
                <w:b/>
                <w:bCs/>
                <w:color w:val="12B4A8"/>
                <w:sz w:val="28"/>
                <w:szCs w:val="28"/>
              </w:rPr>
              <w:t xml:space="preserve">07</w:t>
            </w:r>
          </w:p>
        </w:tc>
        <w:tc>
          <w:tcPr>
            <w:tcW w:type="dxa" w:w="8830"/>
            <w:tcBorders>
              <w:top w:val="none" w:color="FFFFFF" w:sz="0"/>
              <w:left w:val="none" w:color="FFFFFF" w:sz="0"/>
              <w:bottom w:val="none" w:color="FFFFFF" w:sz="0"/>
              <w:right w:val="none" w:color="FFFFFF" w:sz="0"/>
            </w:tcBorders>
          </w:tcPr>
          <w:p>
            <w:pPr>
              <w:spacing w:after="60"/>
            </w:pPr>
            <w:r>
              <w:rPr>
                <w:rFonts w:ascii="Calibri" w:cs="Calibri" w:eastAsia="Calibri" w:hAnsi="Calibri"/>
                <w:b/>
                <w:bCs/>
                <w:color w:val="0B2545"/>
                <w:sz w:val="23"/>
                <w:szCs w:val="23"/>
              </w:rPr>
              <w:t xml:space="preserve">Leasing &amp; Tax Bundling</w:t>
            </w:r>
          </w:p>
          <w:p>
            <w:pPr>
              <w:spacing w:after="200"/>
            </w:pPr>
            <w:r>
              <w:rPr>
                <w:rFonts w:ascii="Calibri" w:cs="Calibri" w:eastAsia="Calibri" w:hAnsi="Calibri"/>
                <w:color w:val="333333"/>
                <w:sz w:val="20"/>
                <w:szCs w:val="20"/>
              </w:rPr>
              <w:t xml:space="preserve">For employees and small businesses, Ikalypso — including monitoring, servicing and wear &amp; tear cover — can be bundled into your novated lease or fleet running costs as one line item, structured to help maximise your tax position.</w:t>
            </w:r>
          </w:p>
        </w:tc>
      </w:tr>
    </w:tbl>
    <w:tbl>
      <w:tblPr>
        <w:tblW w:type="dxa" w:w="9350"/>
        <w:tblBorders>
          <w:top w:val="none" w:color="FFFFFF" w:sz="0"/>
          <w:left w:val="none" w:color="FFFFFF" w:sz="0"/>
          <w:bottom w:val="none" w:color="FFFFFF" w:sz="0"/>
          <w:right w:val="none" w:color="FFFFFF" w:sz="0"/>
          <w:insideH w:val="single" w:color="auto" w:sz="4"/>
          <w:insideV w:val="single" w:color="auto" w:sz="4"/>
        </w:tblBorders>
      </w:tblPr>
      <w:tblGrid>
        <w:gridCol w:w="520"/>
        <w:gridCol w:w="8830"/>
      </w:tblGrid>
      <w:tr>
        <w:tc>
          <w:tcPr>
            <w:tcW w:type="dxa" w:w="520"/>
            <w:tcBorders>
              <w:top w:val="none" w:color="FFFFFF" w:sz="0"/>
              <w:left w:val="none" w:color="FFFFFF" w:sz="0"/>
              <w:bottom w:val="none" w:color="FFFFFF" w:sz="0"/>
              <w:right w:val="none" w:color="FFFFFF" w:sz="0"/>
            </w:tcBorders>
            <w:vAlign w:val="top"/>
          </w:tcPr>
          <w:p>
            <w:r>
              <w:rPr>
                <w:rFonts w:ascii="Calibri" w:cs="Calibri" w:eastAsia="Calibri" w:hAnsi="Calibri"/>
                <w:b/>
                <w:bCs/>
                <w:color w:val="12B4A8"/>
                <w:sz w:val="28"/>
                <w:szCs w:val="28"/>
              </w:rPr>
              <w:t xml:space="preserve">08</w:t>
            </w:r>
          </w:p>
        </w:tc>
        <w:tc>
          <w:tcPr>
            <w:tcW w:type="dxa" w:w="8830"/>
            <w:tcBorders>
              <w:top w:val="none" w:color="FFFFFF" w:sz="0"/>
              <w:left w:val="none" w:color="FFFFFF" w:sz="0"/>
              <w:bottom w:val="none" w:color="FFFFFF" w:sz="0"/>
              <w:right w:val="none" w:color="FFFFFF" w:sz="0"/>
            </w:tcBorders>
          </w:tcPr>
          <w:p>
            <w:pPr>
              <w:spacing w:after="60"/>
            </w:pPr>
            <w:r>
              <w:rPr>
                <w:rFonts w:ascii="Calibri" w:cs="Calibri" w:eastAsia="Calibri" w:hAnsi="Calibri"/>
                <w:b/>
                <w:bCs/>
                <w:color w:val="0B2545"/>
                <w:sz w:val="23"/>
                <w:szCs w:val="23"/>
              </w:rPr>
              <w:t xml:space="preserve">Full Log Book &amp; Service History</w:t>
            </w:r>
          </w:p>
          <w:p>
            <w:pPr>
              <w:spacing w:after="200"/>
            </w:pPr>
            <w:r>
              <w:rPr>
                <w:rFonts w:ascii="Calibri" w:cs="Calibri" w:eastAsia="Calibri" w:hAnsi="Calibri"/>
                <w:color w:val="333333"/>
                <w:sz w:val="20"/>
                <w:szCs w:val="20"/>
              </w:rPr>
              <w:t xml:space="preserve">Every service, fault and repair is captured automatically into one digital log book — accurate, always up to date, and ready to export for resale, audits or warranty claims, without a single paper receipt to chase.</w:t>
            </w:r>
          </w:p>
        </w:tc>
      </w:tr>
    </w:tbl>
    <w:p>
      <w:r>
        <w:br w:type="page"/>
      </w:r>
    </w:p>
    <w:p>
      <w:pPr>
        <w:spacing w:after="60"/>
      </w:pPr>
      <w:r>
        <w:rPr>
          <w:rFonts w:ascii="Calibri" w:cs="Calibri" w:eastAsia="Calibri" w:hAnsi="Calibri"/>
          <w:b/>
          <w:bCs/>
          <w:color w:val="0E8F86"/>
          <w:spacing w:val="20"/>
          <w:sz w:val="18"/>
          <w:szCs w:val="18"/>
        </w:rPr>
        <w:t xml:space="preserve">SERVICE PACKAGES</w:t>
      </w:r>
    </w:p>
    <w:p>
      <w:pPr>
        <w:pStyle w:val="Heading1"/>
        <w:spacing w:after="140" w:before="260"/>
      </w:pPr>
      <w:r>
        <w:rPr>
          <w:rFonts w:ascii="Calibri" w:cs="Calibri" w:eastAsia="Calibri" w:hAnsi="Calibri"/>
          <w:b/>
          <w:bCs/>
          <w:color w:val="0B2545"/>
          <w:sz w:val="30"/>
          <w:szCs w:val="30"/>
        </w:rPr>
        <w:t xml:space="preserve">Uno, Due, Tre — three levels of CarSentry service</w:t>
      </w:r>
    </w:p>
    <w:p>
      <w:pPr>
        <w:spacing w:after="140" w:line="276"/>
      </w:pPr>
      <w:r>
        <w:rPr>
          <w:rFonts w:ascii="Calibri" w:cs="Calibri" w:eastAsia="Calibri" w:hAnsi="Calibri"/>
          <w:b w:val="false"/>
          <w:bCs w:val="false"/>
          <w:i w:val="false"/>
          <w:iCs w:val="false"/>
          <w:color w:val="333333"/>
          <w:sz w:val="21"/>
          <w:szCs w:val="21"/>
        </w:rPr>
        <w:t xml:space="preserve">Every CarSentry tier includes the same core intelligence — DTC monitoring, AI-triaged fault detection and automated booking with your nominated service centre. Higher levels add live tracking, geofencing, fuel-waste alerts, compliance reporting and tax-optimised bundling as your needs grow. Wear &amp; Tear Cover sits outside these tiers entirely, as an optional add-on.</w:t>
      </w:r>
    </w:p>
    <w:p>
      <w:pPr>
        <w:spacing w:after="80"/>
      </w:pPr>
      <w:r>
        <w:rPr>
          <w:rFonts w:ascii="Calibri" w:cs="Calibri" w:eastAsia="Calibri" w:hAnsi="Calibri"/>
          <w:b/>
          <w:bCs/>
          <w:color w:val="6B7280"/>
          <w:spacing w:val="8"/>
          <w:sz w:val="15"/>
          <w:szCs w:val="15"/>
        </w:rPr>
        <w:t xml:space="preserve">PRICES SHOWN IN AUSTRALIAN DOLLARS · TAP A CURRENCY BELOW TO VIEW LIVE ON THE WEBSITE</w:t>
      </w:r>
    </w:p>
    <w:tbl>
      <w:tblPr>
        <w:tblW w:type="dxa" w:w="6400"/>
        <w:tblBorders>
          <w:top w:val="single" w:color="auto" w:sz="4"/>
          <w:left w:val="single" w:color="auto" w:sz="4"/>
          <w:bottom w:val="single" w:color="auto" w:sz="4"/>
          <w:right w:val="single" w:color="auto" w:sz="4"/>
          <w:insideH w:val="single" w:color="auto" w:sz="4"/>
          <w:insideV w:val="single" w:color="auto" w:sz="4"/>
        </w:tblBorders>
      </w:tblPr>
      <w:tblGrid>
        <w:gridCol w:w="1500"/>
        <w:gridCol w:w="100"/>
        <w:gridCol w:w="1500"/>
        <w:gridCol w:w="100"/>
        <w:gridCol w:w="1500"/>
        <w:gridCol w:w="100"/>
        <w:gridCol w:w="1500"/>
      </w:tblGrid>
      <w:tr>
        <w:tc>
          <w:tcPr>
            <w:tcW w:type="dxa" w:w="1500"/>
            <w:tcBorders>
              <w:top w:val="none" w:color="FFFFFF" w:sz="0"/>
              <w:left w:val="none" w:color="FFFFFF" w:sz="0"/>
              <w:bottom w:val="none" w:color="FFFFFF" w:sz="0"/>
              <w:right w:val="none" w:color="FFFFFF" w:sz="0"/>
            </w:tcBorders>
            <w:shd w:fill="C97C3B" w:color="auto" w:val="clear"/>
            <w:tcMar>
              <w:top w:type="dxa" w:w="100"/>
              <w:left w:type="dxa" w:w="80"/>
              <w:bottom w:type="dxa" w:w="100"/>
              <w:right w:type="dxa" w:w="80"/>
            </w:tcMar>
          </w:tcPr>
          <w:p>
            <w:pPr>
              <w:jc w:val="center"/>
            </w:pPr>
            <w:r>
              <w:rPr>
                <w:rFonts w:ascii="Calibri" w:cs="Calibri" w:eastAsia="Calibri" w:hAnsi="Calibri"/>
                <w:b/>
                <w:bCs/>
                <w:color w:val="FFFFFF"/>
                <w:sz w:val="18"/>
                <w:szCs w:val="18"/>
              </w:rPr>
              <w:t xml:space="preserve">A$ AUD</w:t>
            </w:r>
          </w:p>
        </w:tc>
        <w:tc>
          <w:tcPr>
            <w:tcW w:type="dxa" w:w="100"/>
            <w:tcBorders>
              <w:top w:val="none" w:color="FFFFFF" w:sz="0"/>
              <w:left w:val="none" w:color="FFFFFF" w:sz="0"/>
              <w:bottom w:val="none" w:color="FFFFFF" w:sz="0"/>
              <w:right w:val="none" w:color="FFFFFF" w:sz="0"/>
            </w:tcBorders>
          </w:tcPr>
          <w:p/>
        </w:tc>
        <w:tc>
          <w:tcPr>
            <w:tcW w:type="dxa" w:w="1500"/>
            <w:tcBorders>
              <w:top w:val="single" w:color="D0D0D0" w:sz="4"/>
              <w:left w:val="single" w:color="D0D0D0" w:sz="4"/>
              <w:bottom w:val="single" w:color="D0D0D0" w:sz="4"/>
              <w:right w:val="single" w:color="D0D0D0" w:sz="4"/>
            </w:tcBorders>
            <w:shd w:fill="FFFFFF" w:color="auto" w:val="clear"/>
            <w:tcMar>
              <w:top w:type="dxa" w:w="100"/>
              <w:left w:type="dxa" w:w="80"/>
              <w:bottom w:type="dxa" w:w="100"/>
              <w:right w:type="dxa" w:w="80"/>
            </w:tcMar>
          </w:tcPr>
          <w:p>
            <w:pPr>
              <w:jc w:val="center"/>
            </w:pPr>
            <w:hyperlink w:history="1" r:id="rIdtgqw-cfyuv0f_hpf9e-og">
              <w:r>
                <w:rPr>
                  <w:rFonts w:ascii="Calibri" w:cs="Calibri" w:eastAsia="Calibri" w:hAnsi="Calibri"/>
                  <w:b/>
                  <w:bCs/>
                  <w:color w:val="0B2545"/>
                  <w:sz w:val="18"/>
                  <w:szCs w:val="18"/>
                  <w:u w:val="single"/>
                </w:rPr>
                <w:t xml:space="preserve">€ EUR</w:t>
              </w:r>
            </w:hyperlink>
          </w:p>
        </w:tc>
        <w:tc>
          <w:tcPr>
            <w:tcW w:type="dxa" w:w="100"/>
            <w:tcBorders>
              <w:top w:val="none" w:color="FFFFFF" w:sz="0"/>
              <w:left w:val="none" w:color="FFFFFF" w:sz="0"/>
              <w:bottom w:val="none" w:color="FFFFFF" w:sz="0"/>
              <w:right w:val="none" w:color="FFFFFF" w:sz="0"/>
            </w:tcBorders>
          </w:tcPr>
          <w:p/>
        </w:tc>
        <w:tc>
          <w:tcPr>
            <w:tcW w:type="dxa" w:w="1500"/>
            <w:tcBorders>
              <w:top w:val="single" w:color="D0D0D0" w:sz="4"/>
              <w:left w:val="single" w:color="D0D0D0" w:sz="4"/>
              <w:bottom w:val="single" w:color="D0D0D0" w:sz="4"/>
              <w:right w:val="single" w:color="D0D0D0" w:sz="4"/>
            </w:tcBorders>
            <w:shd w:fill="FFFFFF" w:color="auto" w:val="clear"/>
            <w:tcMar>
              <w:top w:type="dxa" w:w="100"/>
              <w:left w:type="dxa" w:w="80"/>
              <w:bottom w:type="dxa" w:w="100"/>
              <w:right w:type="dxa" w:w="80"/>
            </w:tcMar>
          </w:tcPr>
          <w:p>
            <w:pPr>
              <w:jc w:val="center"/>
            </w:pPr>
            <w:hyperlink w:history="1" r:id="rIdx1npr9ub3aihbcldrxpgs">
              <w:r>
                <w:rPr>
                  <w:rFonts w:ascii="Calibri" w:cs="Calibri" w:eastAsia="Calibri" w:hAnsi="Calibri"/>
                  <w:b/>
                  <w:bCs/>
                  <w:color w:val="0B2545"/>
                  <w:sz w:val="18"/>
                  <w:szCs w:val="18"/>
                  <w:u w:val="single"/>
                </w:rPr>
                <w:t xml:space="preserve">£ GBP</w:t>
              </w:r>
            </w:hyperlink>
          </w:p>
        </w:tc>
        <w:tc>
          <w:tcPr>
            <w:tcW w:type="dxa" w:w="100"/>
            <w:tcBorders>
              <w:top w:val="none" w:color="FFFFFF" w:sz="0"/>
              <w:left w:val="none" w:color="FFFFFF" w:sz="0"/>
              <w:bottom w:val="none" w:color="FFFFFF" w:sz="0"/>
              <w:right w:val="none" w:color="FFFFFF" w:sz="0"/>
            </w:tcBorders>
          </w:tcPr>
          <w:p/>
        </w:tc>
        <w:tc>
          <w:tcPr>
            <w:tcW w:type="dxa" w:w="1500"/>
            <w:tcBorders>
              <w:top w:val="single" w:color="D0D0D0" w:sz="4"/>
              <w:left w:val="single" w:color="D0D0D0" w:sz="4"/>
              <w:bottom w:val="single" w:color="D0D0D0" w:sz="4"/>
              <w:right w:val="single" w:color="D0D0D0" w:sz="4"/>
            </w:tcBorders>
            <w:shd w:fill="FFFFFF" w:color="auto" w:val="clear"/>
            <w:tcMar>
              <w:top w:type="dxa" w:w="100"/>
              <w:left w:type="dxa" w:w="80"/>
              <w:bottom w:type="dxa" w:w="100"/>
              <w:right w:type="dxa" w:w="80"/>
            </w:tcMar>
          </w:tcPr>
          <w:p>
            <w:pPr>
              <w:jc w:val="center"/>
            </w:pPr>
            <w:hyperlink w:history="1" r:id="rIdh_e4uyedltdgyofsthzgc">
              <w:r>
                <w:rPr>
                  <w:rFonts w:ascii="Calibri" w:cs="Calibri" w:eastAsia="Calibri" w:hAnsi="Calibri"/>
                  <w:b/>
                  <w:bCs/>
                  <w:color w:val="0B2545"/>
                  <w:sz w:val="18"/>
                  <w:szCs w:val="18"/>
                  <w:u w:val="single"/>
                </w:rPr>
                <w:t xml:space="preserve">$ USD</w:t>
              </w:r>
            </w:hyperlink>
          </w:p>
        </w:tc>
      </w:tr>
    </w:tbl>
    <w:p>
      <w:pPr>
        <w:spacing w:after="0" w:before="2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940"/>
        <w:gridCol w:w="2470"/>
        <w:gridCol w:w="2470"/>
        <w:gridCol w:w="2470"/>
      </w:tblGrid>
      <w:tr>
        <w:tc>
          <w:tcPr>
            <w:tcW w:type="dxa" w:w="1940"/>
            <w:tcBorders>
              <w:top w:val="none" w:color="FFFFFF" w:sz="0"/>
              <w:left w:val="none" w:color="FFFFFF" w:sz="0"/>
              <w:bottom w:val="none" w:color="FFFFFF" w:sz="0"/>
              <w:right w:val="none" w:color="FFFFFF" w:sz="0"/>
            </w:tcBorders>
          </w:tcPr>
          <w:p/>
        </w:tc>
        <w:tc>
          <w:tcPr>
            <w:tcW w:type="dxa" w:w="2470"/>
            <w:tcBorders>
              <w:top w:val="single" w:color="E4020A" w:sz="4"/>
              <w:left w:val="single" w:color="E4020A" w:sz="4"/>
              <w:bottom w:val="single" w:color="E4020A" w:sz="4"/>
              <w:right w:val="single" w:color="E4020A" w:sz="4"/>
            </w:tcBorders>
            <w:shd w:fill="E4020A" w:color="auto" w:val="clear"/>
            <w:tcMar>
              <w:top w:type="dxa" w:w="160"/>
              <w:left w:type="dxa" w:w="120"/>
              <w:bottom w:type="dxa" w:w="100"/>
              <w:right w:type="dxa" w:w="120"/>
            </w:tcMar>
            <w:vAlign w:val="center"/>
          </w:tcPr>
          <w:p>
            <w:pPr>
              <w:spacing w:after="40"/>
              <w:jc w:val="center"/>
            </w:pPr>
            <w:r>
              <w:rPr>
                <w:rFonts w:ascii="Calibri" w:cs="Calibri" w:eastAsia="Calibri" w:hAnsi="Calibri"/>
                <w:b/>
                <w:bCs/>
                <w:color w:val="FFFFFF"/>
                <w:sz w:val="24"/>
                <w:szCs w:val="24"/>
              </w:rPr>
              <w:t xml:space="preserve">UNO</w:t>
            </w:r>
          </w:p>
          <w:p>
            <w:pPr>
              <w:jc w:val="center"/>
            </w:pPr>
            <w:r>
              <w:rPr>
                <w:rFonts w:ascii="Calibri" w:cs="Calibri" w:eastAsia="Calibri" w:hAnsi="Calibri"/>
                <w:b/>
                <w:bCs/>
                <w:color w:val="FFFFFF"/>
                <w:sz w:val="24"/>
                <w:szCs w:val="24"/>
              </w:rPr>
              <w:t xml:space="preserve">A$129pa</w:t>
            </w:r>
          </w:p>
        </w:tc>
        <w:tc>
          <w:tcPr>
            <w:tcW w:type="dxa" w:w="2470"/>
            <w:tcBorders>
              <w:top w:val="single" w:color="0E8F86" w:sz="4"/>
              <w:left w:val="single" w:color="0E8F86" w:sz="4"/>
              <w:bottom w:val="single" w:color="0E8F86" w:sz="4"/>
              <w:right w:val="single" w:color="0E8F86" w:sz="4"/>
            </w:tcBorders>
            <w:shd w:fill="0E8F86" w:color="auto" w:val="clear"/>
            <w:tcMar>
              <w:top w:type="dxa" w:w="160"/>
              <w:left w:type="dxa" w:w="120"/>
              <w:bottom w:type="dxa" w:w="100"/>
              <w:right w:type="dxa" w:w="120"/>
            </w:tcMar>
            <w:vAlign w:val="center"/>
          </w:tcPr>
          <w:p>
            <w:pPr>
              <w:spacing w:after="40"/>
              <w:jc w:val="center"/>
            </w:pPr>
            <w:r>
              <w:rPr>
                <w:rFonts w:ascii="Calibri" w:cs="Calibri" w:eastAsia="Calibri" w:hAnsi="Calibri"/>
                <w:b/>
                <w:bCs/>
                <w:color w:val="FFFFFF"/>
                <w:sz w:val="24"/>
                <w:szCs w:val="24"/>
              </w:rPr>
              <w:t xml:space="preserve">DUE</w:t>
            </w:r>
          </w:p>
          <w:p>
            <w:pPr>
              <w:jc w:val="center"/>
            </w:pPr>
            <w:r>
              <w:rPr>
                <w:rFonts w:ascii="Calibri" w:cs="Calibri" w:eastAsia="Calibri" w:hAnsi="Calibri"/>
                <w:b/>
                <w:bCs/>
                <w:color w:val="FFFFFF"/>
                <w:sz w:val="24"/>
                <w:szCs w:val="24"/>
              </w:rPr>
              <w:t xml:space="preserve">A$232pa</w:t>
            </w:r>
          </w:p>
        </w:tc>
        <w:tc>
          <w:tcPr>
            <w:tcW w:type="dxa" w:w="2470"/>
            <w:tcBorders>
              <w:top w:val="single" w:color="E4020A" w:sz="4"/>
              <w:left w:val="single" w:color="E4020A" w:sz="4"/>
              <w:bottom w:val="single" w:color="E4020A" w:sz="4"/>
              <w:right w:val="single" w:color="E4020A" w:sz="4"/>
            </w:tcBorders>
            <w:shd w:fill="E4020A" w:color="auto" w:val="clear"/>
            <w:tcMar>
              <w:top w:type="dxa" w:w="160"/>
              <w:left w:type="dxa" w:w="120"/>
              <w:bottom w:type="dxa" w:w="100"/>
              <w:right w:type="dxa" w:w="120"/>
            </w:tcMar>
            <w:vAlign w:val="center"/>
          </w:tcPr>
          <w:p>
            <w:pPr>
              <w:spacing w:after="40"/>
              <w:jc w:val="center"/>
            </w:pPr>
            <w:r>
              <w:rPr>
                <w:rFonts w:ascii="Calibri" w:cs="Calibri" w:eastAsia="Calibri" w:hAnsi="Calibri"/>
                <w:b/>
                <w:bCs/>
                <w:color w:val="FFFFFF"/>
                <w:sz w:val="24"/>
                <w:szCs w:val="24"/>
              </w:rPr>
              <w:t xml:space="preserve">TRE</w:t>
            </w:r>
          </w:p>
          <w:p>
            <w:pPr>
              <w:jc w:val="center"/>
            </w:pPr>
            <w:r>
              <w:rPr>
                <w:rFonts w:ascii="Calibri" w:cs="Calibri" w:eastAsia="Calibri" w:hAnsi="Calibri"/>
                <w:b/>
                <w:bCs/>
                <w:color w:val="FFFFFF"/>
                <w:sz w:val="24"/>
                <w:szCs w:val="24"/>
              </w:rPr>
              <w:t xml:space="preserve">A$309pa</w:t>
            </w:r>
          </w:p>
        </w:tc>
      </w:tr>
      <w:tr>
        <w:tc>
          <w:tcPr>
            <w:tcW w:type="dxa" w:w="1940"/>
            <w:tcBorders>
              <w:top w:val="none" w:color="FFFFFF" w:sz="0"/>
              <w:left w:val="none" w:color="FFFFFF" w:sz="0"/>
              <w:bottom w:val="none" w:color="FFFFFF" w:sz="0"/>
              <w:right w:val="none" w:color="FFFFFF" w:sz="0"/>
            </w:tcBorders>
          </w:tcPr>
          <w:p/>
        </w:tc>
        <w:tc>
          <w:tcPr>
            <w:tcW w:type="dxa" w:w="2470"/>
            <w:tcBorders>
              <w:top w:val="single" w:color="E4020A" w:sz="4"/>
              <w:left w:val="single" w:color="E4020A" w:sz="4"/>
              <w:bottom w:val="single" w:color="E4020A" w:sz="4"/>
              <w:right w:val="single" w:color="E4020A" w:sz="4"/>
            </w:tcBorders>
            <w:shd w:fill="E4020A" w:color="auto" w:val="clear"/>
            <w:tcMar>
              <w:top w:type="dxa" w:w="60"/>
              <w:left w:type="dxa" w:w="120"/>
              <w:bottom w:type="dxa" w:w="140"/>
              <w:right w:type="dxa" w:w="120"/>
            </w:tcMar>
            <w:vAlign w:val="center"/>
          </w:tcPr>
          <w:p>
            <w:pPr>
              <w:jc w:val="center"/>
            </w:pPr>
            <w:r>
              <w:rPr>
                <w:rFonts w:ascii="Calibri" w:cs="Calibri" w:eastAsia="Calibri" w:hAnsi="Calibri"/>
                <w:color w:val="FFFFFF"/>
                <w:sz w:val="17"/>
                <w:szCs w:val="17"/>
              </w:rPr>
              <w:t xml:space="preserve">1 car</w:t>
            </w:r>
          </w:p>
        </w:tc>
        <w:tc>
          <w:tcPr>
            <w:tcW w:type="dxa" w:w="2470"/>
            <w:tcBorders>
              <w:top w:val="single" w:color="0E8F86" w:sz="4"/>
              <w:left w:val="single" w:color="0E8F86" w:sz="4"/>
              <w:bottom w:val="single" w:color="0E8F86" w:sz="4"/>
              <w:right w:val="single" w:color="0E8F86" w:sz="4"/>
            </w:tcBorders>
            <w:shd w:fill="0E8F86" w:color="auto" w:val="clear"/>
            <w:tcMar>
              <w:top w:type="dxa" w:w="60"/>
              <w:left w:type="dxa" w:w="120"/>
              <w:bottom w:type="dxa" w:w="140"/>
              <w:right w:type="dxa" w:w="120"/>
            </w:tcMar>
            <w:vAlign w:val="center"/>
          </w:tcPr>
          <w:p>
            <w:pPr>
              <w:jc w:val="center"/>
            </w:pPr>
            <w:r>
              <w:rPr>
                <w:rFonts w:ascii="Calibri" w:cs="Calibri" w:eastAsia="Calibri" w:hAnsi="Calibri"/>
                <w:color w:val="FFFFFF"/>
                <w:sz w:val="17"/>
                <w:szCs w:val="17"/>
              </w:rPr>
              <w:t xml:space="preserve">2 cars · A$116.00/car</w:t>
            </w:r>
          </w:p>
        </w:tc>
        <w:tc>
          <w:tcPr>
            <w:tcW w:type="dxa" w:w="2470"/>
            <w:tcBorders>
              <w:top w:val="single" w:color="E4020A" w:sz="4"/>
              <w:left w:val="single" w:color="E4020A" w:sz="4"/>
              <w:bottom w:val="single" w:color="E4020A" w:sz="4"/>
              <w:right w:val="single" w:color="E4020A" w:sz="4"/>
            </w:tcBorders>
            <w:shd w:fill="E4020A" w:color="auto" w:val="clear"/>
            <w:tcMar>
              <w:top w:type="dxa" w:w="60"/>
              <w:left w:type="dxa" w:w="120"/>
              <w:bottom w:type="dxa" w:w="140"/>
              <w:right w:type="dxa" w:w="120"/>
            </w:tcMar>
            <w:vAlign w:val="center"/>
          </w:tcPr>
          <w:p>
            <w:pPr>
              <w:jc w:val="center"/>
            </w:pPr>
            <w:r>
              <w:rPr>
                <w:rFonts w:ascii="Calibri" w:cs="Calibri" w:eastAsia="Calibri" w:hAnsi="Calibri"/>
                <w:color w:val="FFFFFF"/>
                <w:sz w:val="17"/>
                <w:szCs w:val="17"/>
              </w:rPr>
              <w:t xml:space="preserve">3 cars · A$103.00/car</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Vehicles covered</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1 vehicle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Up to 2 vehicles</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Up to 3 vehicles</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DTC &amp; telemetry monitoring</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Automated service booking</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24/7 location tracking</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Geofence alerts</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Fuel-waste &amp; idle monitoring</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Rego / insurance / eSafety reminders</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Fuel &amp; performance reports</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Monthly</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Monthly</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Monthly</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Nominated mechanic network</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Leasing / tax bundling</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Priority breakdown response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Full onboarding service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Wear &amp; Tear Cover</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r>
      <w:tr>
        <w:tc>
          <w:tcPr>
            <w:tcW w:type="dxa" w:w="9350"/>
            <w:gridSpan w:val="4"/>
            <w:shd w:fill="E4020A" w:color="auto" w:val="clear"/>
            <w:tcMar>
              <w:top w:type="dxa" w:w="90"/>
              <w:left w:type="dxa" w:w="120"/>
              <w:bottom w:type="dxa" w:w="90"/>
              <w:right w:type="dxa" w:w="120"/>
            </w:tcMar>
          </w:tcPr>
          <w:p>
            <w:r>
              <w:rPr>
                <w:rFonts w:ascii="Calibri" w:cs="Calibri" w:eastAsia="Calibri" w:hAnsi="Calibri"/>
                <w:b/>
                <w:bCs/>
                <w:color w:val="FFFFFF"/>
                <w:spacing w:val="15"/>
                <w:sz w:val="16"/>
                <w:szCs w:val="16"/>
              </w:rPr>
              <w:t xml:space="preserve">TRACKING &amp; SECURITY</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Route history &amp; playback</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Stolen vehicle recovery</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ETA / arrival prediction</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After-hours movement alerts</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Tamper / disconnect alerts</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Harsh braking, acceleration &amp; cornering detection</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Speeding alerts</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Dashcam / ADAS/DMS</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r>
      <w:tr>
        <w:tc>
          <w:tcPr>
            <w:tcW w:type="dxa" w:w="9350"/>
            <w:gridSpan w:val="4"/>
            <w:shd w:fill="E4020A" w:color="auto" w:val="clear"/>
            <w:tcMar>
              <w:top w:type="dxa" w:w="90"/>
              <w:left w:type="dxa" w:w="120"/>
              <w:bottom w:type="dxa" w:w="90"/>
              <w:right w:type="dxa" w:w="120"/>
            </w:tcMar>
          </w:tcPr>
          <w:p>
            <w:r>
              <w:rPr>
                <w:rFonts w:ascii="Calibri" w:cs="Calibri" w:eastAsia="Calibri" w:hAnsi="Calibri"/>
                <w:b/>
                <w:bCs/>
                <w:color w:val="FFFFFF"/>
                <w:spacing w:val="15"/>
                <w:sz w:val="16"/>
                <w:szCs w:val="16"/>
              </w:rPr>
              <w:t xml:space="preserve">DIAGNOSTICS &amp; MAINTENANCE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Fault history &amp; trend reporting</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Predictive maintenance scheduling</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Battery / voltage health monitoring</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Engine hours tracking</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Audit-ready fault history export</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Digital log book — full service history</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9350"/>
            <w:gridSpan w:val="4"/>
            <w:shd w:fill="E4020A" w:color="auto" w:val="clear"/>
            <w:tcMar>
              <w:top w:type="dxa" w:w="90"/>
              <w:left w:type="dxa" w:w="120"/>
              <w:bottom w:type="dxa" w:w="90"/>
              <w:right w:type="dxa" w:w="120"/>
            </w:tcMar>
          </w:tcPr>
          <w:p>
            <w:r>
              <w:rPr>
                <w:rFonts w:ascii="Calibri" w:cs="Calibri" w:eastAsia="Calibri" w:hAnsi="Calibri"/>
                <w:b/>
                <w:bCs/>
                <w:color w:val="FFFFFF"/>
                <w:spacing w:val="15"/>
                <w:sz w:val="16"/>
                <w:szCs w:val="16"/>
              </w:rPr>
              <w:t xml:space="preserve">FUEL MANAGEMENT</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Fuel consumption tracking</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Fuel cost optimisation</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Fuel theft / siphoning detection</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9350"/>
            <w:gridSpan w:val="4"/>
            <w:shd w:fill="E4020A" w:color="auto" w:val="clear"/>
            <w:tcMar>
              <w:top w:type="dxa" w:w="90"/>
              <w:left w:type="dxa" w:w="120"/>
              <w:bottom w:type="dxa" w:w="90"/>
              <w:right w:type="dxa" w:w="120"/>
            </w:tcMar>
          </w:tcPr>
          <w:p>
            <w:r>
              <w:rPr>
                <w:rFonts w:ascii="Calibri" w:cs="Calibri" w:eastAsia="Calibri" w:hAnsi="Calibri"/>
                <w:b/>
                <w:bCs/>
                <w:color w:val="FFFFFF"/>
                <w:spacing w:val="15"/>
                <w:sz w:val="16"/>
                <w:szCs w:val="16"/>
              </w:rPr>
              <w:t xml:space="preserve">COMPLIANCE &amp; REPORTING</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Full vehicle regulation monitoring</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Route optimisation</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CO2 / emissions reporting</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Digital vehicle inspection (DVIR) checklists</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9350"/>
            <w:gridSpan w:val="4"/>
            <w:shd w:fill="E4020A" w:color="auto" w:val="clear"/>
            <w:tcMar>
              <w:top w:type="dxa" w:w="90"/>
              <w:left w:type="dxa" w:w="120"/>
              <w:bottom w:type="dxa" w:w="90"/>
              <w:right w:type="dxa" w:w="120"/>
            </w:tcMar>
          </w:tcPr>
          <w:p>
            <w:r>
              <w:rPr>
                <w:rFonts w:ascii="Calibri" w:cs="Calibri" w:eastAsia="Calibri" w:hAnsi="Calibri"/>
                <w:b/>
                <w:bCs/>
                <w:color w:val="FFFFFF"/>
                <w:spacing w:val="15"/>
                <w:sz w:val="16"/>
                <w:szCs w:val="16"/>
              </w:rPr>
              <w:t xml:space="preserve">ENTERPRISE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Multiple API access</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Custom reporting &amp; dashboards</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w:t>
            </w:r>
          </w:p>
        </w:tc>
      </w:tr>
      <w:tr>
        <w:tc>
          <w:tcPr>
            <w:tcW w:type="dxa" w:w="9350"/>
            <w:gridSpan w:val="4"/>
            <w:shd w:fill="E4020A" w:color="auto" w:val="clear"/>
            <w:tcMar>
              <w:top w:type="dxa" w:w="90"/>
              <w:left w:type="dxa" w:w="120"/>
              <w:bottom w:type="dxa" w:w="90"/>
              <w:right w:type="dxa" w:w="120"/>
            </w:tcMar>
          </w:tcPr>
          <w:p>
            <w:r>
              <w:rPr>
                <w:rFonts w:ascii="Calibri" w:cs="Calibri" w:eastAsia="Calibri" w:hAnsi="Calibri"/>
                <w:b/>
                <w:bCs/>
                <w:color w:val="FFFFFF"/>
                <w:spacing w:val="15"/>
                <w:sz w:val="16"/>
                <w:szCs w:val="16"/>
              </w:rPr>
              <w:t xml:space="preserve">OPTIONAL ADD-ONS — PRICED (ONCE BUY IS SELECTED)</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Dashcam ADAS/DMS/GPS Sentinel</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Certified Installation of Vehicle Tracker + SIM + Pooled Data + Platform Sync</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Certified Installation of Vehicle DashCam + SIM + Pooled Data + Platform Sync</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DashCam Group Data Plans</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SIM Cards</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c>
          <w:tcPr>
            <w:tcW w:type="dxa" w:w="2470"/>
            <w:tcBorders>
              <w:top w:val="single" w:color="E2E5E8" w:sz="4"/>
              <w:left w:val="single" w:color="E2E5E8" w:sz="4"/>
              <w:bottom w:val="single" w:color="E2E5E8" w:sz="4"/>
              <w:right w:val="single" w:color="E2E5E8" w:sz="4"/>
            </w:tcBorders>
            <w:shd w:fill="EAF7F6"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c>
          <w:tcPr>
            <w:tcW w:type="dxa" w:w="2470"/>
            <w:tcBorders>
              <w:top w:val="single" w:color="E2E5E8" w:sz="4"/>
              <w:left w:val="single" w:color="E2E5E8" w:sz="4"/>
              <w:bottom w:val="single" w:color="E2E5E8" w:sz="4"/>
              <w:right w:val="single" w:color="E2E5E8" w:sz="4"/>
            </w:tcBorders>
            <w:shd w:fill="FFFFFF" w:color="auto" w:val="clear"/>
            <w:tcMar>
              <w:top w:type="dxa" w:w="100"/>
              <w:left w:type="dxa" w:w="120"/>
              <w:bottom w:type="dxa" w:w="100"/>
              <w:right w:type="dxa" w:w="120"/>
            </w:tcMar>
            <w:vAlign w:val="center"/>
          </w:tcPr>
          <w:p>
            <w:pPr>
              <w:jc w:val="center"/>
            </w:pPr>
            <w:r>
              <w:rPr>
                <w:rFonts w:ascii="Calibri" w:cs="Calibri" w:eastAsia="Calibri" w:hAnsi="Calibri"/>
                <w:color w:val="333333"/>
                <w:sz w:val="18"/>
                <w:szCs w:val="18"/>
              </w:rPr>
              <w:t xml:space="preserve">+ Optional</w:t>
            </w:r>
          </w:p>
        </w:tc>
      </w:tr>
      <w:tr>
        <w:tc>
          <w:tcPr>
            <w:tcW w:type="dxa" w:w="1940"/>
            <w:tcBorders>
              <w:top w:val="none" w:color="FFFFFF" w:sz="0"/>
              <w:left w:val="none" w:color="FFFFFF" w:sz="0"/>
              <w:bottom w:val="none" w:color="FFFFFF" w:sz="0"/>
              <w:right w:val="none" w:color="FFFFFF" w:sz="0"/>
            </w:tcBorders>
          </w:tcPr>
          <w:p/>
        </w:tc>
        <w:tc>
          <w:tcPr>
            <w:tcW w:type="dxa" w:w="2470"/>
            <w:tcBorders>
              <w:top w:val="single" w:color="E4020A" w:sz="4"/>
              <w:left w:val="single" w:color="E4020A" w:sz="4"/>
              <w:bottom w:val="single" w:color="E4020A" w:sz="4"/>
              <w:right w:val="single" w:color="E4020A" w:sz="4"/>
            </w:tcBorders>
            <w:shd w:fill="E4020A" w:color="auto" w:val="clear"/>
            <w:tcMar>
              <w:top w:type="dxa" w:w="100"/>
              <w:left w:type="dxa" w:w="120"/>
              <w:bottom w:type="dxa" w:w="160"/>
              <w:right w:type="dxa" w:w="120"/>
            </w:tcMar>
            <w:vAlign w:val="center"/>
          </w:tcPr>
          <w:p>
            <w:pPr>
              <w:jc w:val="center"/>
            </w:pPr>
            <w:hyperlink w:history="1" r:id="rIdmee5gk8qdlvs280o_ka2f">
              <w:r>
                <w:rPr>
                  <w:rFonts w:ascii="Calibri" w:cs="Calibri" w:eastAsia="Calibri" w:hAnsi="Calibri"/>
                  <w:b/>
                  <w:bCs/>
                  <w:color w:val="FFFFFF"/>
                  <w:sz w:val="19"/>
                  <w:szCs w:val="19"/>
                  <w:u w:val="single"/>
                </w:rPr>
                <w:t xml:space="preserve">Buy UNO →</w:t>
              </w:r>
            </w:hyperlink>
          </w:p>
        </w:tc>
        <w:tc>
          <w:tcPr>
            <w:tcW w:type="dxa" w:w="2470"/>
            <w:tcBorders>
              <w:top w:val="single" w:color="E4020A" w:sz="4"/>
              <w:left w:val="single" w:color="E4020A" w:sz="4"/>
              <w:bottom w:val="single" w:color="E4020A" w:sz="4"/>
              <w:right w:val="single" w:color="E4020A" w:sz="4"/>
            </w:tcBorders>
            <w:shd w:fill="E4020A" w:color="auto" w:val="clear"/>
            <w:tcMar>
              <w:top w:type="dxa" w:w="100"/>
              <w:left w:type="dxa" w:w="120"/>
              <w:bottom w:type="dxa" w:w="160"/>
              <w:right w:type="dxa" w:w="120"/>
            </w:tcMar>
            <w:vAlign w:val="center"/>
          </w:tcPr>
          <w:p>
            <w:pPr>
              <w:jc w:val="center"/>
            </w:pPr>
            <w:hyperlink w:history="1" r:id="rIdw0hrbm4zeh9m75yqhvves">
              <w:r>
                <w:rPr>
                  <w:rFonts w:ascii="Calibri" w:cs="Calibri" w:eastAsia="Calibri" w:hAnsi="Calibri"/>
                  <w:b/>
                  <w:bCs/>
                  <w:color w:val="FFFFFF"/>
                  <w:sz w:val="19"/>
                  <w:szCs w:val="19"/>
                  <w:u w:val="single"/>
                </w:rPr>
                <w:t xml:space="preserve">Buy DUE →</w:t>
              </w:r>
            </w:hyperlink>
          </w:p>
        </w:tc>
        <w:tc>
          <w:tcPr>
            <w:tcW w:type="dxa" w:w="2470"/>
            <w:tcBorders>
              <w:top w:val="single" w:color="E4020A" w:sz="4"/>
              <w:left w:val="single" w:color="E4020A" w:sz="4"/>
              <w:bottom w:val="single" w:color="E4020A" w:sz="4"/>
              <w:right w:val="single" w:color="E4020A" w:sz="4"/>
            </w:tcBorders>
            <w:shd w:fill="E4020A" w:color="auto" w:val="clear"/>
            <w:tcMar>
              <w:top w:type="dxa" w:w="100"/>
              <w:left w:type="dxa" w:w="120"/>
              <w:bottom w:type="dxa" w:w="160"/>
              <w:right w:type="dxa" w:w="120"/>
            </w:tcMar>
            <w:vAlign w:val="center"/>
          </w:tcPr>
          <w:p>
            <w:pPr>
              <w:jc w:val="center"/>
            </w:pPr>
            <w:hyperlink w:history="1" r:id="rIdyo6aw7jqid13j9jajeyop">
              <w:r>
                <w:rPr>
                  <w:rFonts w:ascii="Calibri" w:cs="Calibri" w:eastAsia="Calibri" w:hAnsi="Calibri"/>
                  <w:b/>
                  <w:bCs/>
                  <w:color w:val="FFFFFF"/>
                  <w:sz w:val="19"/>
                  <w:szCs w:val="19"/>
                  <w:u w:val="single"/>
                </w:rPr>
                <w:t xml:space="preserve">Buy TRE →</w:t>
              </w:r>
            </w:hyperlink>
          </w:p>
        </w:tc>
      </w:tr>
    </w:tbl>
    <w:p>
      <w:pPr>
        <w:spacing w:after="220" w:before="2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E9CFA0" w:sz="4"/>
              <w:left w:val="single" w:color="E9CFA0" w:sz="4"/>
              <w:bottom w:val="single" w:color="E9CFA0" w:sz="4"/>
              <w:right w:val="single" w:color="E9CFA0" w:sz="4"/>
            </w:tcBorders>
            <w:shd w:fill="FBF3E7" w:color="auto" w:val="clear"/>
            <w:tcMar>
              <w:top w:type="dxa" w:w="200"/>
              <w:left w:type="dxa" w:w="220"/>
              <w:bottom w:type="dxa" w:w="200"/>
              <w:right w:type="dxa" w:w="220"/>
            </w:tcMar>
          </w:tcPr>
          <w:p>
            <w:pPr>
              <w:spacing w:after="60"/>
            </w:pPr>
            <w:r>
              <w:rPr>
                <w:rFonts w:ascii="Calibri" w:cs="Calibri" w:eastAsia="Calibri" w:hAnsi="Calibri"/>
                <w:b/>
                <w:bCs/>
                <w:color w:val="9C6A1E"/>
                <w:spacing w:val="15"/>
                <w:sz w:val="17"/>
                <w:szCs w:val="17"/>
              </w:rPr>
              <w:t xml:space="preserve">OPTIONAL ADD-ON</w:t>
            </w:r>
          </w:p>
          <w:p>
            <w:pPr>
              <w:spacing w:after="80"/>
            </w:pPr>
            <w:r>
              <w:rPr>
                <w:rFonts w:ascii="Calibri" w:cs="Calibri" w:eastAsia="Calibri" w:hAnsi="Calibri"/>
                <w:b/>
                <w:bCs/>
                <w:color w:val="0B2545"/>
                <w:sz w:val="26"/>
                <w:szCs w:val="26"/>
              </w:rPr>
              <w:t xml:space="preserve">Wear &amp; Tear Cover</w:t>
            </w:r>
          </w:p>
          <w:p>
            <w:pPr>
              <w:spacing w:after="160"/>
            </w:pPr>
            <w:r>
              <w:rPr>
                <w:rFonts w:ascii="Calibri" w:cs="Calibri" w:eastAsia="Calibri" w:hAnsi="Calibri"/>
                <w:color w:val="333333"/>
                <w:sz w:val="19"/>
                <w:szCs w:val="19"/>
              </w:rPr>
              <w:t xml:space="preserve">Uno, Due and Tre are the core security, diagnostics and booking product. If you'd also like the cost of standard wear items covered, add Wear &amp; Tear Cover on top: tyres, brakes, battery, wipers and filters — parts and labour — folded into one flat top-up through your nominated centre, in place of paying for each replacement as it happens.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15"/>
              <w:gridCol w:w="120"/>
              <w:gridCol w:w="4615"/>
            </w:tblGrid>
            <w:tr>
              <w:tc>
                <w:tcPr>
                  <w:tcW w:type="dxa" w:w="4615"/>
                  <w:tcBorders>
                    <w:top w:val="none" w:color="FFFFFF" w:sz="0"/>
                    <w:left w:val="none" w:color="FFFFFF" w:sz="0"/>
                    <w:bottom w:val="none" w:color="FFFFFF" w:sz="0"/>
                    <w:right w:val="none" w:color="FFFFFF" w:sz="0"/>
                  </w:tcBorders>
                  <w:shd w:fill="C97C3B" w:color="auto" w:val="clear"/>
                  <w:tcMar>
                    <w:top w:type="dxa" w:w="160"/>
                    <w:left w:type="dxa" w:w="60"/>
                    <w:bottom w:type="dxa" w:w="160"/>
                    <w:right w:type="dxa" w:w="60"/>
                  </w:tcMar>
                </w:tcPr>
                <w:p>
                  <w:pPr>
                    <w:jc w:val="center"/>
                  </w:pPr>
                  <w:hyperlink w:history="1" r:id="rIdsssinw569lgem10o9d3ed">
                    <w:r>
                      <w:rPr>
                        <w:rFonts w:ascii="Calibri" w:cs="Calibri" w:eastAsia="Calibri" w:hAnsi="Calibri"/>
                        <w:b/>
                        <w:bCs/>
                        <w:color w:val="FFFFFF"/>
                        <w:sz w:val="20"/>
                        <w:szCs w:val="20"/>
                      </w:rPr>
                      <w:t xml:space="preserve">Get a Quote</w:t>
                    </w:r>
                  </w:hyperlink>
                </w:p>
              </w:tc>
              <w:tc>
                <w:tcPr>
                  <w:tcW w:type="dxa" w:w="120"/>
                  <w:tcBorders>
                    <w:top w:val="none" w:color="FFFFFF" w:sz="0"/>
                    <w:left w:val="none" w:color="FFFFFF" w:sz="0"/>
                    <w:bottom w:val="none" w:color="FFFFFF" w:sz="0"/>
                    <w:right w:val="none" w:color="FFFFFF" w:sz="0"/>
                  </w:tcBorders>
                </w:tcPr>
                <w:p/>
              </w:tc>
              <w:tc>
                <w:tcPr>
                  <w:tcW w:type="dxa" w:w="4615"/>
                  <w:tcBorders>
                    <w:top w:val="none" w:color="FFFFFF" w:sz="0"/>
                    <w:left w:val="none" w:color="FFFFFF" w:sz="0"/>
                    <w:bottom w:val="none" w:color="FFFFFF" w:sz="0"/>
                    <w:right w:val="none" w:color="FFFFFF" w:sz="0"/>
                  </w:tcBorders>
                  <w:shd w:fill="A32B22" w:color="auto" w:val="clear"/>
                  <w:tcMar>
                    <w:top w:type="dxa" w:w="160"/>
                    <w:left w:type="dxa" w:w="60"/>
                    <w:bottom w:type="dxa" w:w="160"/>
                    <w:right w:type="dxa" w:w="60"/>
                  </w:tcMar>
                </w:tcPr>
                <w:p>
                  <w:pPr>
                    <w:jc w:val="center"/>
                  </w:pPr>
                  <w:hyperlink w:history="1" r:id="rIdowp_dt0uofv6myrqe6ysd">
                    <w:r>
                      <w:rPr>
                        <w:rFonts w:ascii="Calibri" w:cs="Calibri" w:eastAsia="Calibri" w:hAnsi="Calibri"/>
                        <w:b/>
                        <w:bCs/>
                        <w:color w:val="FFFFFF"/>
                        <w:sz w:val="20"/>
                        <w:szCs w:val="20"/>
                      </w:rPr>
                      <w:t xml:space="preserve">Speak to an Agent</w:t>
                    </w:r>
                  </w:hyperlink>
                </w:p>
              </w:tc>
            </w:tr>
          </w:tbl>
          <w:p/>
        </w:tc>
      </w:tr>
    </w:tbl>
    <w:p>
      <w:pPr>
        <w:spacing w:after="100" w:before="200"/>
      </w:pPr>
      <w:r>
        <w:rPr>
          <w:rFonts w:ascii="Calibri" w:cs="Calibri" w:eastAsia="Calibri" w:hAnsi="Calibri"/>
          <w:i/>
          <w:iCs/>
          <w:color w:val="6B7280"/>
          <w:sz w:val="18"/>
          <w:szCs w:val="18"/>
        </w:rPr>
        <w:t xml:space="preserve">Pricing shown is indicative and per annum — tap Buy above for the current live price and full checkout. Uno, Due and Tre are levels of service, not hard vehicle caps.</w:t>
      </w:r>
    </w:p>
    <w:p>
      <w:r>
        <w:br w:type="page"/>
      </w:r>
    </w:p>
    <w:p>
      <w:pPr>
        <w:spacing w:after="60"/>
      </w:pPr>
      <w:r>
        <w:rPr>
          <w:rFonts w:ascii="Calibri" w:cs="Calibri" w:eastAsia="Calibri" w:hAnsi="Calibri"/>
          <w:b/>
          <w:bCs/>
          <w:color w:val="0E8F86"/>
          <w:spacing w:val="20"/>
          <w:sz w:val="18"/>
          <w:szCs w:val="18"/>
        </w:rPr>
        <w:t xml:space="preserve">IN REAL TERMS</w:t>
      </w:r>
    </w:p>
    <w:p>
      <w:pPr>
        <w:pStyle w:val="Heading1"/>
        <w:spacing w:after="140" w:before="260"/>
      </w:pPr>
      <w:r>
        <w:rPr>
          <w:rFonts w:ascii="Calibri" w:cs="Calibri" w:eastAsia="Calibri" w:hAnsi="Calibri"/>
          <w:b/>
          <w:bCs/>
          <w:color w:val="0B2545"/>
          <w:sz w:val="30"/>
          <w:szCs w:val="30"/>
        </w:rPr>
        <w:t xml:space="preserve">What this actually looks like for you</w:t>
      </w:r>
    </w:p>
    <w:p>
      <w:pPr>
        <w:spacing w:after="140" w:line="276"/>
      </w:pPr>
      <w:r>
        <w:rPr>
          <w:rFonts w:ascii="Calibri" w:cs="Calibri" w:eastAsia="Calibri" w:hAnsi="Calibri"/>
          <w:b w:val="false"/>
          <w:bCs w:val="false"/>
          <w:i w:val="false"/>
          <w:iCs w:val="false"/>
          <w:color w:val="333333"/>
          <w:sz w:val="21"/>
          <w:szCs w:val="21"/>
        </w:rPr>
        <w:t xml:space="preserve">It's easy to list features. Here's what they add up to once Ikalypso's Intelligent A.I. Service is running quietly in the background of your day.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0B2545" w:sz="4"/>
              <w:left w:val="single" w:color="0B2545" w:sz="4"/>
              <w:bottom w:val="single" w:color="0B2545" w:sz="4"/>
              <w:right w:val="single" w:color="0B2545" w:sz="4"/>
            </w:tcBorders>
            <w:shd w:fill="0B2545" w:color="auto" w:val="clear"/>
            <w:tcMar>
              <w:top w:type="dxa" w:w="220"/>
              <w:left w:type="dxa" w:w="240"/>
              <w:bottom w:type="dxa" w:w="220"/>
              <w:right w:type="dxa" w:w="240"/>
            </w:tcMar>
          </w:tcPr>
          <w:p>
            <w:pPr>
              <w:spacing w:after="80"/>
            </w:pPr>
            <w:r>
              <w:rPr>
                <w:rFonts w:ascii="Calibri" w:cs="Calibri" w:eastAsia="Calibri" w:hAnsi="Calibri"/>
                <w:b/>
                <w:bCs/>
                <w:color w:val="12B4A8"/>
                <w:spacing w:val="15"/>
                <w:sz w:val="17"/>
                <w:szCs w:val="17"/>
              </w:rPr>
              <w:t xml:space="preserve">A DAY IN THE LIFE OF A CARSENTRY VEHICLE</w:t>
            </w:r>
          </w:p>
          <w:p>
            <w:pPr>
              <w:spacing w:after="60"/>
            </w:pPr>
            <w:r>
              <w:rPr>
                <w:rFonts w:ascii="Calibri" w:cs="Calibri" w:eastAsia="Calibri" w:hAnsi="Calibri"/>
                <w:b/>
                <w:bCs/>
                <w:color w:val="FFFFFF"/>
                <w:sz w:val="19"/>
                <w:szCs w:val="19"/>
              </w:rPr>
              <w:t xml:space="preserve">7:14am</w:t>
            </w:r>
            <w:r>
              <w:rPr>
                <w:rFonts w:ascii="Calibri" w:cs="Calibri" w:eastAsia="Calibri" w:hAnsi="Calibri"/>
                <w:color w:val="E7EEF2"/>
                <w:sz w:val="19"/>
                <w:szCs w:val="19"/>
              </w:rPr>
              <w:t xml:space="preserve">  —  A brake pad wear sensor triggers on your delivery van, mid-route.</w:t>
            </w:r>
          </w:p>
          <w:p>
            <w:pPr>
              <w:spacing w:after="60"/>
            </w:pPr>
            <w:r>
              <w:rPr>
                <w:rFonts w:ascii="Calibri" w:cs="Calibri" w:eastAsia="Calibri" w:hAnsi="Calibri"/>
                <w:b/>
                <w:bCs/>
                <w:color w:val="FFFFFF"/>
                <w:sz w:val="19"/>
                <w:szCs w:val="19"/>
              </w:rPr>
              <w:t xml:space="preserve">7:15am</w:t>
            </w:r>
            <w:r>
              <w:rPr>
                <w:rFonts w:ascii="Calibri" w:cs="Calibri" w:eastAsia="Calibri" w:hAnsi="Calibri"/>
                <w:color w:val="E7EEF2"/>
                <w:sz w:val="19"/>
                <w:szCs w:val="19"/>
              </w:rPr>
              <w:t xml:space="preserve">  —  Our Intelligent A.I. Service reads the code, cross-checks it against live telemetry, and rules out a false alarm.</w:t>
            </w:r>
          </w:p>
          <w:p>
            <w:pPr>
              <w:spacing w:after="60"/>
            </w:pPr>
            <w:r>
              <w:rPr>
                <w:rFonts w:ascii="Calibri" w:cs="Calibri" w:eastAsia="Calibri" w:hAnsi="Calibri"/>
                <w:b/>
                <w:bCs/>
                <w:color w:val="FFFFFF"/>
                <w:sz w:val="19"/>
                <w:szCs w:val="19"/>
              </w:rPr>
              <w:t xml:space="preserve">7:16am</w:t>
            </w:r>
            <w:r>
              <w:rPr>
                <w:rFonts w:ascii="Calibri" w:cs="Calibri" w:eastAsia="Calibri" w:hAnsi="Calibri"/>
                <w:color w:val="E7EEF2"/>
                <w:sz w:val="19"/>
                <w:szCs w:val="19"/>
              </w:rPr>
              <w:t xml:space="preserve">  —  Your nominated workshop's availability is checked automatically and a slot is booked for Thursday afternoon.</w:t>
            </w:r>
          </w:p>
          <w:p>
            <w:pPr>
              <w:spacing w:after="0"/>
            </w:pPr>
            <w:r>
              <w:rPr>
                <w:rFonts w:ascii="Calibri" w:cs="Calibri" w:eastAsia="Calibri" w:hAnsi="Calibri"/>
                <w:b/>
                <w:bCs/>
                <w:color w:val="FFFFFF"/>
                <w:sz w:val="19"/>
                <w:szCs w:val="19"/>
              </w:rPr>
              <w:t xml:space="preserve">7:17am</w:t>
            </w:r>
            <w:r>
              <w:rPr>
                <w:rFonts w:ascii="Calibri" w:cs="Calibri" w:eastAsia="Calibri" w:hAnsi="Calibri"/>
                <w:color w:val="E7EEF2"/>
                <w:sz w:val="19"/>
                <w:szCs w:val="19"/>
              </w:rPr>
              <w:t xml:space="preserve">  —  You get a two-line notification. The van keeps working. That's the entire time it cost you.</w:t>
            </w:r>
          </w:p>
        </w:tc>
      </w:tr>
    </w:tbl>
    <w:p>
      <w:pPr>
        <w:spacing w:after="140" w:before="260"/>
      </w:pPr>
      <w:r>
        <w:rPr>
          <w:rFonts w:ascii="Calibri" w:cs="Calibri" w:eastAsia="Calibri" w:hAnsi="Calibri"/>
          <w:b/>
          <w:bCs/>
          <w:color w:val="0B2545"/>
          <w:sz w:val="24"/>
          <w:szCs w:val="24"/>
        </w:rPr>
        <w:t xml:space="preserve">The tangible payoff</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single" w:color="E2E5E8" w:sz="4"/>
              <w:left w:val="single" w:color="E2E5E8" w:sz="4"/>
              <w:bottom w:val="single" w:color="E2E5E8" w:sz="4"/>
              <w:right w:val="single" w:color="E2E5E8" w:sz="4"/>
            </w:tcBorders>
            <w:shd w:fill="F3F6F7" w:color="auto" w:val="clear"/>
            <w:tcMar>
              <w:top w:type="dxa" w:w="200"/>
              <w:left w:type="dxa" w:w="200"/>
              <w:bottom w:type="dxa" w:w="200"/>
              <w:right w:type="dxa" w:w="200"/>
            </w:tcMar>
          </w:tcPr>
          <w:p>
            <w:pPr>
              <w:spacing w:after="40"/>
            </w:pPr>
            <w:r>
              <w:rPr>
                <w:rFonts w:ascii="Calibri" w:cs="Calibri" w:eastAsia="Calibri" w:hAnsi="Calibri"/>
                <w:b/>
                <w:bCs/>
                <w:color w:val="0E8F86"/>
                <w:sz w:val="36"/>
                <w:szCs w:val="36"/>
              </w:rPr>
              <w:t xml:space="preserve">3–5 hrs</w:t>
            </w:r>
          </w:p>
          <w:p>
            <w:r>
              <w:rPr>
                <w:rFonts w:ascii="Calibri" w:cs="Calibri" w:eastAsia="Calibri" w:hAnsi="Calibri"/>
                <w:color w:val="333333"/>
                <w:sz w:val="19"/>
                <w:szCs w:val="19"/>
              </w:rPr>
              <w:t xml:space="preserve">given back per vehicle, per month — no more chasing bookings, renewals or workshop calls.</w:t>
            </w:r>
          </w:p>
        </w:tc>
        <w:tc>
          <w:tcPr>
            <w:tcW w:type="dxa" w:w="4675"/>
            <w:tcBorders>
              <w:top w:val="single" w:color="E2E5E8" w:sz="4"/>
              <w:left w:val="single" w:color="E2E5E8" w:sz="4"/>
              <w:bottom w:val="single" w:color="E2E5E8" w:sz="4"/>
              <w:right w:val="single" w:color="E2E5E8" w:sz="4"/>
            </w:tcBorders>
            <w:shd w:fill="F3F6F7" w:color="auto" w:val="clear"/>
            <w:tcMar>
              <w:top w:type="dxa" w:w="200"/>
              <w:left w:type="dxa" w:w="200"/>
              <w:bottom w:type="dxa" w:w="200"/>
              <w:right w:type="dxa" w:w="200"/>
            </w:tcMar>
          </w:tcPr>
          <w:p>
            <w:pPr>
              <w:spacing w:after="40"/>
            </w:pPr>
            <w:r>
              <w:rPr>
                <w:rFonts w:ascii="Calibri" w:cs="Calibri" w:eastAsia="Calibri" w:hAnsi="Calibri"/>
                <w:b/>
                <w:bCs/>
                <w:color w:val="0E8F86"/>
                <w:sz w:val="36"/>
                <w:szCs w:val="36"/>
              </w:rPr>
              <w:t xml:space="preserve">0</w:t>
            </w:r>
          </w:p>
          <w:p>
            <w:r>
              <w:rPr>
                <w:rFonts w:ascii="Calibri" w:cs="Calibri" w:eastAsia="Calibri" w:hAnsi="Calibri"/>
                <w:color w:val="333333"/>
                <w:sz w:val="19"/>
                <w:szCs w:val="19"/>
              </w:rPr>
              <w:t xml:space="preserve">renewal surprises — rego, insurance and eSafety dates are flagged well ahead, not discovered at the roadside.</w:t>
            </w:r>
          </w:p>
        </w:tc>
      </w:tr>
      <w:tr>
        <w:tc>
          <w:tcPr>
            <w:tcW w:type="dxa" w:w="4675"/>
            <w:tcBorders>
              <w:top w:val="none" w:color="FFFFFF" w:sz="0"/>
              <w:left w:val="none" w:color="FFFFFF" w:sz="0"/>
              <w:bottom w:val="none" w:color="FFFFFF" w:sz="0"/>
              <w:right w:val="none" w:color="FFFFFF" w:sz="0"/>
            </w:tcBorders>
          </w:tcPr>
          <w:p>
            <w:pPr>
              <w:spacing w:after="140"/>
            </w:pPr>
          </w:p>
        </w:tc>
        <w:tc>
          <w:tcPr>
            <w:tcW w:type="dxa" w:w="4675"/>
            <w:tcBorders>
              <w:top w:val="none" w:color="FFFFFF" w:sz="0"/>
              <w:left w:val="none" w:color="FFFFFF" w:sz="0"/>
              <w:bottom w:val="none" w:color="FFFFFF" w:sz="0"/>
              <w:right w:val="none" w:color="FFFFFF" w:sz="0"/>
            </w:tcBorders>
          </w:tcPr>
          <w:p/>
        </w:tc>
      </w:tr>
      <w:tr>
        <w:tc>
          <w:tcPr>
            <w:tcW w:type="dxa" w:w="4675"/>
            <w:tcBorders>
              <w:top w:val="single" w:color="E2E5E8" w:sz="4"/>
              <w:left w:val="single" w:color="E2E5E8" w:sz="4"/>
              <w:bottom w:val="single" w:color="E2E5E8" w:sz="4"/>
              <w:right w:val="single" w:color="E2E5E8" w:sz="4"/>
            </w:tcBorders>
            <w:shd w:fill="F3F6F7" w:color="auto" w:val="clear"/>
            <w:tcMar>
              <w:top w:type="dxa" w:w="200"/>
              <w:left w:type="dxa" w:w="200"/>
              <w:bottom w:type="dxa" w:w="200"/>
              <w:right w:type="dxa" w:w="200"/>
            </w:tcMar>
          </w:tcPr>
          <w:p>
            <w:pPr>
              <w:spacing w:after="40"/>
            </w:pPr>
            <w:r>
              <w:rPr>
                <w:rFonts w:ascii="Calibri" w:cs="Calibri" w:eastAsia="Calibri" w:hAnsi="Calibri"/>
                <w:b/>
                <w:bCs/>
                <w:color w:val="0B2545"/>
                <w:sz w:val="36"/>
                <w:szCs w:val="36"/>
              </w:rPr>
              <w:t xml:space="preserve">Caught early</w:t>
            </w:r>
          </w:p>
          <w:p>
            <w:r>
              <w:rPr>
                <w:rFonts w:ascii="Calibri" w:cs="Calibri" w:eastAsia="Calibri" w:hAnsi="Calibri"/>
                <w:color w:val="333333"/>
                <w:sz w:val="19"/>
                <w:szCs w:val="19"/>
              </w:rPr>
              <w:t xml:space="preserve">Faults are flagged at the trouble-code stage, before a minor issue cascades into a major repair bill.</w:t>
            </w:r>
          </w:p>
        </w:tc>
        <w:tc>
          <w:tcPr>
            <w:tcW w:type="dxa" w:w="4675"/>
            <w:tcBorders>
              <w:top w:val="single" w:color="E2E5E8" w:sz="4"/>
              <w:left w:val="single" w:color="E2E5E8" w:sz="4"/>
              <w:bottom w:val="single" w:color="E2E5E8" w:sz="4"/>
              <w:right w:val="single" w:color="E2E5E8" w:sz="4"/>
            </w:tcBorders>
            <w:shd w:fill="F3F6F7" w:color="auto" w:val="clear"/>
            <w:tcMar>
              <w:top w:type="dxa" w:w="200"/>
              <w:left w:type="dxa" w:w="200"/>
              <w:bottom w:type="dxa" w:w="200"/>
              <w:right w:type="dxa" w:w="200"/>
            </w:tcMar>
          </w:tcPr>
          <w:p>
            <w:pPr>
              <w:spacing w:after="40"/>
            </w:pPr>
            <w:r>
              <w:rPr>
                <w:rFonts w:ascii="Calibri" w:cs="Calibri" w:eastAsia="Calibri" w:hAnsi="Calibri"/>
                <w:b/>
                <w:bCs/>
                <w:color w:val="0B2545"/>
                <w:sz w:val="36"/>
                <w:szCs w:val="36"/>
              </w:rPr>
              <w:t xml:space="preserve">1 login</w:t>
            </w:r>
          </w:p>
          <w:p>
            <w:r>
              <w:rPr>
                <w:rFonts w:ascii="Calibri" w:cs="Calibri" w:eastAsia="Calibri" w:hAnsi="Calibri"/>
                <w:color w:val="333333"/>
                <w:sz w:val="19"/>
                <w:szCs w:val="19"/>
              </w:rPr>
              <w:t xml:space="preserve">One dashboard for every vehicle, every reminder and every invoice — instead of a folder, a calendar and a glovebox full of receipts.</w:t>
            </w:r>
          </w:p>
        </w:tc>
      </w:tr>
    </w:tbl>
    <w:p>
      <w:pPr>
        <w:spacing w:after="140" w:before="260"/>
      </w:pPr>
      <w:r>
        <w:rPr>
          <w:rFonts w:ascii="Calibri" w:cs="Calibri" w:eastAsia="Calibri" w:hAnsi="Calibri"/>
          <w:b/>
          <w:bCs/>
          <w:color w:val="0B2545"/>
          <w:sz w:val="24"/>
          <w:szCs w:val="24"/>
        </w:rPr>
        <w:t xml:space="preserve">Side by side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940"/>
        <w:gridCol w:w="3705"/>
        <w:gridCol w:w="3705"/>
      </w:tblGrid>
      <w:tr>
        <w:tc>
          <w:tcPr>
            <w:tcW w:type="dxa" w:w="1940"/>
            <w:tcBorders>
              <w:top w:val="none" w:color="FFFFFF" w:sz="0"/>
              <w:left w:val="none" w:color="FFFFFF" w:sz="0"/>
              <w:bottom w:val="none" w:color="FFFFFF" w:sz="0"/>
              <w:right w:val="none" w:color="FFFFFF" w:sz="0"/>
            </w:tcBorders>
          </w:tcPr>
          <w:p/>
        </w:tc>
        <w:tc>
          <w:tcPr>
            <w:tcW w:type="dxa" w:w="2470"/>
            <w:tcBorders>
              <w:top w:val="single" w:color="8A8F98" w:sz="4"/>
              <w:left w:val="single" w:color="8A8F98" w:sz="4"/>
              <w:bottom w:val="single" w:color="8A8F98" w:sz="4"/>
              <w:right w:val="single" w:color="8A8F98" w:sz="4"/>
            </w:tcBorders>
            <w:shd w:fill="8A8F98" w:color="auto" w:val="clear"/>
            <w:tcMar>
              <w:top w:type="dxa" w:w="160"/>
              <w:left w:type="dxa" w:w="120"/>
              <w:bottom w:type="dxa" w:w="160"/>
              <w:right w:type="dxa" w:w="120"/>
            </w:tcMar>
            <w:vAlign w:val="center"/>
          </w:tcPr>
          <w:p>
            <w:pPr>
              <w:spacing w:after="0"/>
              <w:jc w:val="center"/>
            </w:pPr>
            <w:r>
              <w:rPr>
                <w:rFonts w:ascii="Calibri" w:cs="Calibri" w:eastAsia="Calibri" w:hAnsi="Calibri"/>
                <w:b/>
                <w:bCs/>
                <w:color w:val="FFFFFF"/>
                <w:sz w:val="24"/>
                <w:szCs w:val="24"/>
              </w:rPr>
              <w:t xml:space="preserve">WITHOUT</w:t>
            </w:r>
          </w:p>
        </w:tc>
        <w:tc>
          <w:tcPr>
            <w:tcW w:type="dxa" w:w="2470"/>
            <w:tcBorders>
              <w:top w:val="single" w:color="0E8F86" w:sz="4"/>
              <w:left w:val="single" w:color="0E8F86" w:sz="4"/>
              <w:bottom w:val="single" w:color="0E8F86" w:sz="4"/>
              <w:right w:val="single" w:color="0E8F86" w:sz="4"/>
            </w:tcBorders>
            <w:shd w:fill="0E8F86" w:color="auto" w:val="clear"/>
            <w:tcMar>
              <w:top w:type="dxa" w:w="160"/>
              <w:left w:type="dxa" w:w="120"/>
              <w:bottom w:type="dxa" w:w="160"/>
              <w:right w:type="dxa" w:w="120"/>
            </w:tcMar>
            <w:vAlign w:val="center"/>
          </w:tcPr>
          <w:p>
            <w:pPr>
              <w:spacing w:after="0"/>
              <w:jc w:val="center"/>
            </w:pPr>
            <w:r>
              <w:rPr>
                <w:rFonts w:ascii="Calibri" w:cs="Calibri" w:eastAsia="Calibri" w:hAnsi="Calibri"/>
                <w:b/>
                <w:bCs/>
                <w:color w:val="FFFFFF"/>
                <w:sz w:val="24"/>
                <w:szCs w:val="24"/>
              </w:rPr>
              <w:t xml:space="preserve">WITH CARSENTRY</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Warning lights</w:t>
            </w:r>
          </w:p>
        </w:tc>
        <w:tc>
          <w:tcPr>
            <w:tcW w:type="dxa" w:w="3705"/>
            <w:tcBorders>
              <w:top w:val="single" w:color="E2E5E8" w:sz="4"/>
              <w:left w:val="single" w:color="E2E5E8" w:sz="4"/>
              <w:bottom w:val="single" w:color="E2E5E8" w:sz="4"/>
              <w:right w:val="single" w:color="E2E5E8" w:sz="4"/>
            </w:tcBorders>
            <w:shd w:fill="FBEAEA" w:color="auto" w:val="clear"/>
            <w:tcMar>
              <w:top w:type="dxa" w:w="100"/>
              <w:left w:type="dxa" w:w="140"/>
              <w:bottom w:type="dxa" w:w="100"/>
              <w:right w:type="dxa" w:w="140"/>
            </w:tcMar>
            <w:vAlign w:val="center"/>
          </w:tcPr>
          <w:p>
            <w:r>
              <w:rPr>
                <w:rFonts w:ascii="Calibri" w:cs="Calibri" w:eastAsia="Calibri" w:hAnsi="Calibri"/>
                <w:color w:val="7A2E2E"/>
                <w:sz w:val="18"/>
                <w:szCs w:val="18"/>
              </w:rPr>
              <w:t xml:space="preserve">Guess, Google it, or hope it goes away</w:t>
            </w:r>
          </w:p>
        </w:tc>
        <w:tc>
          <w:tcPr>
            <w:tcW w:type="dxa" w:w="3705"/>
            <w:tcBorders>
              <w:top w:val="single" w:color="E2E5E8" w:sz="4"/>
              <w:left w:val="single" w:color="E2E5E8" w:sz="4"/>
              <w:bottom w:val="single" w:color="E2E5E8" w:sz="4"/>
              <w:right w:val="single" w:color="E2E5E8" w:sz="4"/>
            </w:tcBorders>
            <w:shd w:fill="EAF7F6" w:color="auto" w:val="clear"/>
            <w:tcMar>
              <w:top w:type="dxa" w:w="100"/>
              <w:left w:type="dxa" w:w="140"/>
              <w:bottom w:type="dxa" w:w="100"/>
              <w:right w:type="dxa" w:w="140"/>
            </w:tcMar>
            <w:vAlign w:val="center"/>
          </w:tcPr>
          <w:p>
            <w:r>
              <w:rPr>
                <w:rFonts w:ascii="Calibri" w:cs="Calibri" w:eastAsia="Calibri" w:hAnsi="Calibri"/>
                <w:b/>
                <w:bCs/>
                <w:color w:val="1E6560"/>
                <w:sz w:val="18"/>
                <w:szCs w:val="18"/>
              </w:rPr>
              <w:t xml:space="preserve">Diagnosed via DTC &amp; AI, booked before it fails</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Service dates</w:t>
            </w:r>
          </w:p>
        </w:tc>
        <w:tc>
          <w:tcPr>
            <w:tcW w:type="dxa" w:w="3705"/>
            <w:tcBorders>
              <w:top w:val="single" w:color="E2E5E8" w:sz="4"/>
              <w:left w:val="single" w:color="E2E5E8" w:sz="4"/>
              <w:bottom w:val="single" w:color="E2E5E8" w:sz="4"/>
              <w:right w:val="single" w:color="E2E5E8" w:sz="4"/>
            </w:tcBorders>
            <w:shd w:fill="FBEAEA" w:color="auto" w:val="clear"/>
            <w:tcMar>
              <w:top w:type="dxa" w:w="100"/>
              <w:left w:type="dxa" w:w="140"/>
              <w:bottom w:type="dxa" w:w="100"/>
              <w:right w:type="dxa" w:w="140"/>
            </w:tcMar>
            <w:vAlign w:val="center"/>
          </w:tcPr>
          <w:p>
            <w:r>
              <w:rPr>
                <w:rFonts w:ascii="Calibri" w:cs="Calibri" w:eastAsia="Calibri" w:hAnsi="Calibri"/>
                <w:color w:val="7A2E2E"/>
                <w:sz w:val="18"/>
                <w:szCs w:val="18"/>
              </w:rPr>
              <w:t xml:space="preserve">Tracked in your head or a calendar app</w:t>
            </w:r>
          </w:p>
        </w:tc>
        <w:tc>
          <w:tcPr>
            <w:tcW w:type="dxa" w:w="3705"/>
            <w:tcBorders>
              <w:top w:val="single" w:color="E2E5E8" w:sz="4"/>
              <w:left w:val="single" w:color="E2E5E8" w:sz="4"/>
              <w:bottom w:val="single" w:color="E2E5E8" w:sz="4"/>
              <w:right w:val="single" w:color="E2E5E8" w:sz="4"/>
            </w:tcBorders>
            <w:shd w:fill="EAF7F6" w:color="auto" w:val="clear"/>
            <w:tcMar>
              <w:top w:type="dxa" w:w="100"/>
              <w:left w:type="dxa" w:w="140"/>
              <w:bottom w:type="dxa" w:w="100"/>
              <w:right w:type="dxa" w:w="140"/>
            </w:tcMar>
            <w:vAlign w:val="center"/>
          </w:tcPr>
          <w:p>
            <w:r>
              <w:rPr>
                <w:rFonts w:ascii="Calibri" w:cs="Calibri" w:eastAsia="Calibri" w:hAnsi="Calibri"/>
                <w:b/>
                <w:bCs/>
                <w:color w:val="1E6560"/>
                <w:sz w:val="18"/>
                <w:szCs w:val="18"/>
              </w:rPr>
              <w:t xml:space="preserve">Monitored continuously, booked automatically</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Rego / insurance</w:t>
            </w:r>
          </w:p>
        </w:tc>
        <w:tc>
          <w:tcPr>
            <w:tcW w:type="dxa" w:w="3705"/>
            <w:tcBorders>
              <w:top w:val="single" w:color="E2E5E8" w:sz="4"/>
              <w:left w:val="single" w:color="E2E5E8" w:sz="4"/>
              <w:bottom w:val="single" w:color="E2E5E8" w:sz="4"/>
              <w:right w:val="single" w:color="E2E5E8" w:sz="4"/>
            </w:tcBorders>
            <w:shd w:fill="FBEAEA" w:color="auto" w:val="clear"/>
            <w:tcMar>
              <w:top w:type="dxa" w:w="100"/>
              <w:left w:type="dxa" w:w="140"/>
              <w:bottom w:type="dxa" w:w="100"/>
              <w:right w:type="dxa" w:w="140"/>
            </w:tcMar>
            <w:vAlign w:val="center"/>
          </w:tcPr>
          <w:p>
            <w:r>
              <w:rPr>
                <w:rFonts w:ascii="Calibri" w:cs="Calibri" w:eastAsia="Calibri" w:hAnsi="Calibri"/>
                <w:color w:val="7A2E2E"/>
                <w:sz w:val="18"/>
                <w:szCs w:val="18"/>
              </w:rPr>
              <w:t xml:space="preserve">Sticky notes and last-minute scrambles</w:t>
            </w:r>
          </w:p>
        </w:tc>
        <w:tc>
          <w:tcPr>
            <w:tcW w:type="dxa" w:w="3705"/>
            <w:tcBorders>
              <w:top w:val="single" w:color="E2E5E8" w:sz="4"/>
              <w:left w:val="single" w:color="E2E5E8" w:sz="4"/>
              <w:bottom w:val="single" w:color="E2E5E8" w:sz="4"/>
              <w:right w:val="single" w:color="E2E5E8" w:sz="4"/>
            </w:tcBorders>
            <w:shd w:fill="EAF7F6" w:color="auto" w:val="clear"/>
            <w:tcMar>
              <w:top w:type="dxa" w:w="100"/>
              <w:left w:type="dxa" w:w="140"/>
              <w:bottom w:type="dxa" w:w="100"/>
              <w:right w:type="dxa" w:w="140"/>
            </w:tcMar>
            <w:vAlign w:val="center"/>
          </w:tcPr>
          <w:p>
            <w:r>
              <w:rPr>
                <w:rFonts w:ascii="Calibri" w:cs="Calibri" w:eastAsia="Calibri" w:hAnsi="Calibri"/>
                <w:b/>
                <w:bCs/>
                <w:color w:val="1E6560"/>
                <w:sz w:val="18"/>
                <w:szCs w:val="18"/>
              </w:rPr>
              <w:t xml:space="preserve">Flagged well ahead, every time</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Where's the car?</w:t>
            </w:r>
          </w:p>
        </w:tc>
        <w:tc>
          <w:tcPr>
            <w:tcW w:type="dxa" w:w="3705"/>
            <w:tcBorders>
              <w:top w:val="single" w:color="E2E5E8" w:sz="4"/>
              <w:left w:val="single" w:color="E2E5E8" w:sz="4"/>
              <w:bottom w:val="single" w:color="E2E5E8" w:sz="4"/>
              <w:right w:val="single" w:color="E2E5E8" w:sz="4"/>
            </w:tcBorders>
            <w:shd w:fill="FBEAEA" w:color="auto" w:val="clear"/>
            <w:tcMar>
              <w:top w:type="dxa" w:w="100"/>
              <w:left w:type="dxa" w:w="140"/>
              <w:bottom w:type="dxa" w:w="100"/>
              <w:right w:type="dxa" w:w="140"/>
            </w:tcMar>
            <w:vAlign w:val="center"/>
          </w:tcPr>
          <w:p>
            <w:r>
              <w:rPr>
                <w:rFonts w:ascii="Calibri" w:cs="Calibri" w:eastAsia="Calibri" w:hAnsi="Calibri"/>
                <w:color w:val="7A2E2E"/>
                <w:sz w:val="18"/>
                <w:szCs w:val="18"/>
              </w:rPr>
              <w:t xml:space="preserve">No visibility once it's out of sight</w:t>
            </w:r>
          </w:p>
        </w:tc>
        <w:tc>
          <w:tcPr>
            <w:tcW w:type="dxa" w:w="3705"/>
            <w:tcBorders>
              <w:top w:val="single" w:color="E2E5E8" w:sz="4"/>
              <w:left w:val="single" w:color="E2E5E8" w:sz="4"/>
              <w:bottom w:val="single" w:color="E2E5E8" w:sz="4"/>
              <w:right w:val="single" w:color="E2E5E8" w:sz="4"/>
            </w:tcBorders>
            <w:shd w:fill="EAF7F6" w:color="auto" w:val="clear"/>
            <w:tcMar>
              <w:top w:type="dxa" w:w="100"/>
              <w:left w:type="dxa" w:w="140"/>
              <w:bottom w:type="dxa" w:w="100"/>
              <w:right w:type="dxa" w:w="140"/>
            </w:tcMar>
            <w:vAlign w:val="center"/>
          </w:tcPr>
          <w:p>
            <w:r>
              <w:rPr>
                <w:rFonts w:ascii="Calibri" w:cs="Calibri" w:eastAsia="Calibri" w:hAnsi="Calibri"/>
                <w:b/>
                <w:bCs/>
                <w:color w:val="1E6560"/>
                <w:sz w:val="18"/>
                <w:szCs w:val="18"/>
              </w:rPr>
              <w:t xml:space="preserve">Live location &amp; geofence alerts, 24/7</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Fuel waste</w:t>
            </w:r>
          </w:p>
        </w:tc>
        <w:tc>
          <w:tcPr>
            <w:tcW w:type="dxa" w:w="3705"/>
            <w:tcBorders>
              <w:top w:val="single" w:color="E2E5E8" w:sz="4"/>
              <w:left w:val="single" w:color="E2E5E8" w:sz="4"/>
              <w:bottom w:val="single" w:color="E2E5E8" w:sz="4"/>
              <w:right w:val="single" w:color="E2E5E8" w:sz="4"/>
            </w:tcBorders>
            <w:shd w:fill="FBEAEA" w:color="auto" w:val="clear"/>
            <w:tcMar>
              <w:top w:type="dxa" w:w="100"/>
              <w:left w:type="dxa" w:w="140"/>
              <w:bottom w:type="dxa" w:w="100"/>
              <w:right w:type="dxa" w:w="140"/>
            </w:tcMar>
            <w:vAlign w:val="center"/>
          </w:tcPr>
          <w:p>
            <w:r>
              <w:rPr>
                <w:rFonts w:ascii="Calibri" w:cs="Calibri" w:eastAsia="Calibri" w:hAnsi="Calibri"/>
                <w:color w:val="7A2E2E"/>
                <w:sz w:val="18"/>
                <w:szCs w:val="18"/>
              </w:rPr>
              <w:t xml:space="preserve">Discovered at the bowser, if at all</w:t>
            </w:r>
          </w:p>
        </w:tc>
        <w:tc>
          <w:tcPr>
            <w:tcW w:type="dxa" w:w="3705"/>
            <w:tcBorders>
              <w:top w:val="single" w:color="E2E5E8" w:sz="4"/>
              <w:left w:val="single" w:color="E2E5E8" w:sz="4"/>
              <w:bottom w:val="single" w:color="E2E5E8" w:sz="4"/>
              <w:right w:val="single" w:color="E2E5E8" w:sz="4"/>
            </w:tcBorders>
            <w:shd w:fill="EAF7F6" w:color="auto" w:val="clear"/>
            <w:tcMar>
              <w:top w:type="dxa" w:w="100"/>
              <w:left w:type="dxa" w:w="140"/>
              <w:bottom w:type="dxa" w:w="100"/>
              <w:right w:type="dxa" w:w="140"/>
            </w:tcMar>
            <w:vAlign w:val="center"/>
          </w:tcPr>
          <w:p>
            <w:r>
              <w:rPr>
                <w:rFonts w:ascii="Calibri" w:cs="Calibri" w:eastAsia="Calibri" w:hAnsi="Calibri"/>
                <w:b/>
                <w:bCs/>
                <w:color w:val="1E6560"/>
                <w:sz w:val="18"/>
                <w:szCs w:val="18"/>
              </w:rPr>
              <w:t xml:space="preserve">Flagged the moment it starts</w:t>
            </w:r>
          </w:p>
        </w:tc>
      </w:tr>
      <w:tr>
        <w:tc>
          <w:tcPr>
            <w:tcW w:type="dxa" w:w="1940"/>
            <w:tcBorders>
              <w:top w:val="single" w:color="E2E5E8" w:sz="4"/>
              <w:left w:val="single" w:color="E2E5E8" w:sz="4"/>
              <w:bottom w:val="single" w:color="E2E5E8" w:sz="4"/>
              <w:right w:val="single" w:color="E2E5E8" w:sz="4"/>
            </w:tcBorders>
            <w:shd w:fill="F3F6F7" w:color="auto" w:val="clear"/>
            <w:tcMar>
              <w:top w:type="dxa" w:w="100"/>
              <w:left w:type="dxa" w:w="120"/>
              <w:bottom w:type="dxa" w:w="100"/>
              <w:right w:type="dxa" w:w="120"/>
            </w:tcMar>
            <w:vAlign w:val="center"/>
          </w:tcPr>
          <w:p>
            <w:r>
              <w:rPr>
                <w:rFonts w:ascii="Calibri" w:cs="Calibri" w:eastAsia="Calibri" w:hAnsi="Calibri"/>
                <w:b/>
                <w:bCs/>
                <w:color w:val="0B2545"/>
                <w:sz w:val="18"/>
                <w:szCs w:val="18"/>
              </w:rPr>
              <w:t xml:space="preserve">Tax time</w:t>
            </w:r>
          </w:p>
        </w:tc>
        <w:tc>
          <w:tcPr>
            <w:tcW w:type="dxa" w:w="3705"/>
            <w:tcBorders>
              <w:top w:val="single" w:color="E2E5E8" w:sz="4"/>
              <w:left w:val="single" w:color="E2E5E8" w:sz="4"/>
              <w:bottom w:val="single" w:color="E2E5E8" w:sz="4"/>
              <w:right w:val="single" w:color="E2E5E8" w:sz="4"/>
            </w:tcBorders>
            <w:shd w:fill="FBEAEA" w:color="auto" w:val="clear"/>
            <w:tcMar>
              <w:top w:type="dxa" w:w="100"/>
              <w:left w:type="dxa" w:w="140"/>
              <w:bottom w:type="dxa" w:w="100"/>
              <w:right w:type="dxa" w:w="140"/>
            </w:tcMar>
            <w:vAlign w:val="center"/>
          </w:tcPr>
          <w:p>
            <w:r>
              <w:rPr>
                <w:rFonts w:ascii="Calibri" w:cs="Calibri" w:eastAsia="Calibri" w:hAnsi="Calibri"/>
                <w:color w:val="7A2E2E"/>
                <w:sz w:val="18"/>
                <w:szCs w:val="18"/>
              </w:rPr>
              <w:t xml:space="preserve">Paperwork spread across providers</w:t>
            </w:r>
          </w:p>
        </w:tc>
        <w:tc>
          <w:tcPr>
            <w:tcW w:type="dxa" w:w="3705"/>
            <w:tcBorders>
              <w:top w:val="single" w:color="E2E5E8" w:sz="4"/>
              <w:left w:val="single" w:color="E2E5E8" w:sz="4"/>
              <w:bottom w:val="single" w:color="E2E5E8" w:sz="4"/>
              <w:right w:val="single" w:color="E2E5E8" w:sz="4"/>
            </w:tcBorders>
            <w:shd w:fill="EAF7F6" w:color="auto" w:val="clear"/>
            <w:tcMar>
              <w:top w:type="dxa" w:w="100"/>
              <w:left w:type="dxa" w:w="140"/>
              <w:bottom w:type="dxa" w:w="100"/>
              <w:right w:type="dxa" w:w="140"/>
            </w:tcMar>
            <w:vAlign w:val="center"/>
          </w:tcPr>
          <w:p>
            <w:r>
              <w:rPr>
                <w:rFonts w:ascii="Calibri" w:cs="Calibri" w:eastAsia="Calibri" w:hAnsi="Calibri"/>
                <w:b/>
                <w:bCs/>
                <w:color w:val="1E6560"/>
                <w:sz w:val="18"/>
                <w:szCs w:val="18"/>
              </w:rPr>
              <w:t xml:space="preserve">One bundled line, novated-lease ready</w:t>
            </w:r>
          </w:p>
        </w:tc>
      </w:tr>
    </w:tbl>
    <w:p>
      <w:pPr>
        <w:spacing w:after="0" w:before="160"/>
      </w:pPr>
      <w:r>
        <w:rPr>
          <w:rFonts w:ascii="Calibri" w:cs="Calibri" w:eastAsia="Calibri" w:hAnsi="Calibri"/>
          <w:i/>
          <w:iCs/>
          <w:color w:val="6B7280"/>
          <w:sz w:val="16"/>
          <w:szCs w:val="16"/>
        </w:rPr>
        <w:t xml:space="preserve">Figures above are typical, illustrative ranges based on common ownership patterns — actual time and cost savings depend on your vehicles, usage and nominated service centre.</w:t>
      </w:r>
    </w:p>
    <w:p>
      <w:r>
        <w:br w:type="page"/>
      </w:r>
    </w:p>
    <w:p>
      <w:pPr>
        <w:spacing w:after="60"/>
      </w:pPr>
      <w:r>
        <w:rPr>
          <w:rFonts w:ascii="Calibri" w:cs="Calibri" w:eastAsia="Calibri" w:hAnsi="Calibri"/>
          <w:b/>
          <w:bCs/>
          <w:color w:val="0E8F86"/>
          <w:spacing w:val="20"/>
          <w:sz w:val="18"/>
          <w:szCs w:val="18"/>
        </w:rPr>
        <w:t xml:space="preserve">WHY IT MATTERS</w:t>
      </w:r>
    </w:p>
    <w:p>
      <w:pPr>
        <w:pStyle w:val="Heading1"/>
        <w:spacing w:after="140" w:before="260"/>
      </w:pPr>
      <w:r>
        <w:rPr>
          <w:rFonts w:ascii="Calibri" w:cs="Calibri" w:eastAsia="Calibri" w:hAnsi="Calibri"/>
          <w:b/>
          <w:bCs/>
          <w:color w:val="0B2545"/>
          <w:sz w:val="30"/>
          <w:szCs w:val="30"/>
        </w:rPr>
        <w:t xml:space="preserve">Built around four outcomes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single" w:color="E2E5E8" w:sz="4"/>
              <w:left w:val="single" w:color="E2E5E8" w:sz="4"/>
              <w:bottom w:val="single" w:color="E2E5E8" w:sz="4"/>
              <w:right w:val="single" w:color="E2E5E8" w:sz="4"/>
            </w:tcBorders>
            <w:shd w:fill="F3F6F7" w:color="auto" w:val="clear"/>
            <w:tcMar>
              <w:top w:type="dxa" w:w="180"/>
              <w:left w:type="dxa" w:w="180"/>
              <w:bottom w:type="dxa" w:w="180"/>
              <w:right w:type="dxa" w:w="180"/>
            </w:tcMar>
          </w:tcPr>
          <w:p>
            <w:pPr>
              <w:spacing w:after="60"/>
            </w:pPr>
            <w:r>
              <w:rPr>
                <w:rFonts w:ascii="Calibri" w:cs="Calibri" w:eastAsia="Calibri" w:hAnsi="Calibri"/>
                <w:b/>
                <w:bCs/>
                <w:color w:val="0E8F86"/>
                <w:sz w:val="22"/>
                <w:szCs w:val="22"/>
              </w:rPr>
              <w:t xml:space="preserve">Save Time</w:t>
            </w:r>
          </w:p>
          <w:p>
            <w:r>
              <w:rPr>
                <w:rFonts w:ascii="Calibri" w:cs="Calibri" w:eastAsia="Calibri" w:hAnsi="Calibri"/>
                <w:color w:val="333333"/>
                <w:sz w:val="18"/>
                <w:szCs w:val="18"/>
              </w:rPr>
              <w:t xml:space="preserve">No more chasing bookings, remembering renewal dates or diagnosing dashboard lights yourself — the system does it and tells you what happened.</w:t>
            </w:r>
          </w:p>
        </w:tc>
        <w:tc>
          <w:tcPr>
            <w:tcW w:type="dxa" w:w="4675"/>
            <w:tcBorders>
              <w:top w:val="single" w:color="E2E5E8" w:sz="4"/>
              <w:left w:val="single" w:color="E2E5E8" w:sz="4"/>
              <w:bottom w:val="single" w:color="E2E5E8" w:sz="4"/>
              <w:right w:val="single" w:color="E2E5E8" w:sz="4"/>
            </w:tcBorders>
            <w:shd w:fill="F3F6F7" w:color="auto" w:val="clear"/>
            <w:tcMar>
              <w:top w:type="dxa" w:w="180"/>
              <w:left w:type="dxa" w:w="180"/>
              <w:bottom w:type="dxa" w:w="180"/>
              <w:right w:type="dxa" w:w="180"/>
            </w:tcMar>
          </w:tcPr>
          <w:p>
            <w:pPr>
              <w:spacing w:after="60"/>
            </w:pPr>
            <w:r>
              <w:rPr>
                <w:rFonts w:ascii="Calibri" w:cs="Calibri" w:eastAsia="Calibri" w:hAnsi="Calibri"/>
                <w:b/>
                <w:bCs/>
                <w:color w:val="0E8F86"/>
                <w:sz w:val="22"/>
                <w:szCs w:val="22"/>
              </w:rPr>
              <w:t xml:space="preserve">Save Fuel Costs</w:t>
            </w:r>
          </w:p>
          <w:p>
            <w:r>
              <w:rPr>
                <w:rFonts w:ascii="Calibri" w:cs="Calibri" w:eastAsia="Calibri" w:hAnsi="Calibri"/>
                <w:color w:val="333333"/>
                <w:sz w:val="18"/>
                <w:szCs w:val="18"/>
              </w:rPr>
              <w:t xml:space="preserve">Early detection of inefficiencies — tyres, sensors, misfires — keeps every vehicle running at optimum fuel economy.</w:t>
            </w:r>
          </w:p>
        </w:tc>
      </w:tr>
      <w:tr>
        <w:tc>
          <w:tcPr>
            <w:tcW w:type="dxa" w:w="4675"/>
            <w:tcBorders>
              <w:top w:val="none" w:color="FFFFFF" w:sz="0"/>
              <w:left w:val="none" w:color="FFFFFF" w:sz="0"/>
              <w:bottom w:val="none" w:color="FFFFFF" w:sz="0"/>
              <w:right w:val="none" w:color="FFFFFF" w:sz="0"/>
            </w:tcBorders>
          </w:tcPr>
          <w:p>
            <w:pPr>
              <w:spacing w:after="100"/>
            </w:pPr>
          </w:p>
        </w:tc>
        <w:tc>
          <w:tcPr>
            <w:tcW w:type="dxa" w:w="4675"/>
            <w:tcBorders>
              <w:top w:val="none" w:color="FFFFFF" w:sz="0"/>
              <w:left w:val="none" w:color="FFFFFF" w:sz="0"/>
              <w:bottom w:val="none" w:color="FFFFFF" w:sz="0"/>
              <w:right w:val="none" w:color="FFFFFF" w:sz="0"/>
            </w:tcBorders>
          </w:tcPr>
          <w:p/>
        </w:tc>
      </w:tr>
      <w:tr>
        <w:tc>
          <w:tcPr>
            <w:tcW w:type="dxa" w:w="4675"/>
            <w:tcBorders>
              <w:top w:val="single" w:color="E2E5E8" w:sz="4"/>
              <w:left w:val="single" w:color="E2E5E8" w:sz="4"/>
              <w:bottom w:val="single" w:color="E2E5E8" w:sz="4"/>
              <w:right w:val="single" w:color="E2E5E8" w:sz="4"/>
            </w:tcBorders>
            <w:shd w:fill="F3F6F7" w:color="auto" w:val="clear"/>
            <w:tcMar>
              <w:top w:type="dxa" w:w="180"/>
              <w:left w:type="dxa" w:w="180"/>
              <w:bottom w:type="dxa" w:w="180"/>
              <w:right w:type="dxa" w:w="180"/>
            </w:tcMar>
          </w:tcPr>
          <w:p>
            <w:pPr>
              <w:spacing w:after="60"/>
            </w:pPr>
            <w:r>
              <w:rPr>
                <w:rFonts w:ascii="Calibri" w:cs="Calibri" w:eastAsia="Calibri" w:hAnsi="Calibri"/>
                <w:b/>
                <w:bCs/>
                <w:color w:val="0E8F86"/>
                <w:sz w:val="22"/>
                <w:szCs w:val="22"/>
              </w:rPr>
              <w:t xml:space="preserve">Increase Efficiency</w:t>
            </w:r>
          </w:p>
          <w:p>
            <w:r>
              <w:rPr>
                <w:rFonts w:ascii="Calibri" w:cs="Calibri" w:eastAsia="Calibri" w:hAnsi="Calibri"/>
                <w:color w:val="333333"/>
                <w:sz w:val="18"/>
                <w:szCs w:val="18"/>
              </w:rPr>
              <w:t xml:space="preserve">Fault codes are matched to the right fix and the right centre the first time, cutting downtime and repeat visits.</w:t>
            </w:r>
          </w:p>
        </w:tc>
        <w:tc>
          <w:tcPr>
            <w:tcW w:type="dxa" w:w="4675"/>
            <w:tcBorders>
              <w:top w:val="single" w:color="E2E5E8" w:sz="4"/>
              <w:left w:val="single" w:color="E2E5E8" w:sz="4"/>
              <w:bottom w:val="single" w:color="E2E5E8" w:sz="4"/>
              <w:right w:val="single" w:color="E2E5E8" w:sz="4"/>
            </w:tcBorders>
            <w:shd w:fill="F3F6F7" w:color="auto" w:val="clear"/>
            <w:tcMar>
              <w:top w:type="dxa" w:w="180"/>
              <w:left w:type="dxa" w:w="180"/>
              <w:bottom w:type="dxa" w:w="180"/>
              <w:right w:type="dxa" w:w="180"/>
            </w:tcMar>
          </w:tcPr>
          <w:p>
            <w:pPr>
              <w:spacing w:after="60"/>
            </w:pPr>
            <w:r>
              <w:rPr>
                <w:rFonts w:ascii="Calibri" w:cs="Calibri" w:eastAsia="Calibri" w:hAnsi="Calibri"/>
                <w:b/>
                <w:bCs/>
                <w:color w:val="0E8F86"/>
                <w:sz w:val="22"/>
                <w:szCs w:val="22"/>
              </w:rPr>
              <w:t xml:space="preserve">Save Hassle</w:t>
            </w:r>
          </w:p>
          <w:p>
            <w:r>
              <w:rPr>
                <w:rFonts w:ascii="Calibri" w:cs="Calibri" w:eastAsia="Calibri" w:hAnsi="Calibri"/>
                <w:color w:val="333333"/>
                <w:sz w:val="18"/>
                <w:szCs w:val="18"/>
              </w:rPr>
              <w:t xml:space="preserve">One nominated mechanic, one dashboard, one notification stream — everything to do with owning a car, handled for you.</w:t>
            </w:r>
          </w:p>
        </w:tc>
      </w:tr>
    </w:tbl>
    <w:p>
      <w:pPr>
        <w:spacing w:after="0" w:before="400"/>
      </w:pPr>
    </w:p>
    <w:p>
      <w:pPr>
        <w:pBdr>
          <w:bottom w:val="single" w:color="12B4A8" w:sz="6" w:space="1"/>
        </w:pBdr>
        <w:spacing w:after="200"/>
      </w:pPr>
    </w:p>
    <w:p>
      <w:pPr>
        <w:pStyle w:val="Heading1"/>
        <w:spacing w:after="140" w:before="260"/>
      </w:pPr>
      <w:r>
        <w:rPr>
          <w:rFonts w:ascii="Calibri" w:cs="Calibri" w:eastAsia="Calibri" w:hAnsi="Calibri"/>
          <w:b/>
          <w:bCs/>
          <w:color w:val="0B2545"/>
          <w:sz w:val="30"/>
          <w:szCs w:val="30"/>
        </w:rPr>
        <w:t xml:space="preserve">Ready to put your garage on autopilot?</w:t>
      </w:r>
    </w:p>
    <w:p>
      <w:pPr>
        <w:spacing w:after="140" w:line="276"/>
      </w:pPr>
      <w:r>
        <w:rPr>
          <w:rFonts w:ascii="Calibri" w:cs="Calibri" w:eastAsia="Calibri" w:hAnsi="Calibri"/>
          <w:b w:val="false"/>
          <w:bCs w:val="false"/>
          <w:i w:val="false"/>
          <w:iCs w:val="false"/>
          <w:color w:val="333333"/>
          <w:sz w:val="21"/>
          <w:szCs w:val="21"/>
        </w:rPr>
        <w:t xml:space="preserve">Talk to us about setting up CarSentry, powered by Ikalypso, for your household or small business — including how novated lease bundling could be structured for your tax position.</w:t>
      </w:r>
    </w:p>
    <w:p>
      <w:pPr>
        <w:spacing w:after="220" w:before="100"/>
      </w:pPr>
      <w:hyperlink w:history="1" r:id="rIdeckzt7vni1awum996tesc">
        <w:r>
          <w:rPr>
            <w:rFonts w:ascii="Calibri" w:cs="Calibri" w:eastAsia="Calibri" w:hAnsi="Calibri"/>
            <w:b/>
            <w:bCs/>
            <w:color w:val="0B2545"/>
            <w:sz w:val="22"/>
            <w:szCs w:val="22"/>
            <w:u w:val="single"/>
          </w:rPr>
          <w:t xml:space="preserve">customer-care@ikalypso.com</w:t>
        </w:r>
      </w:hyperlink>
      <w:r>
        <w:rPr>
          <w:rFonts w:ascii="Calibri" w:cs="Calibri" w:eastAsia="Calibri" w:hAnsi="Calibri"/>
          <w:color w:val="6B7280"/>
          <w:sz w:val="22"/>
          <w:szCs w:val="22"/>
        </w:rPr>
        <w:t xml:space="preserve">   ·   </w:t>
      </w:r>
      <w:hyperlink w:history="1" r:id="rIdkbawzn84sv3eagrj--o28">
        <w:r>
          <w:rPr>
            <w:rFonts w:ascii="Calibri" w:cs="Calibri" w:eastAsia="Calibri" w:hAnsi="Calibri"/>
            <w:b/>
            <w:bCs/>
            <w:color w:val="0B2545"/>
            <w:sz w:val="22"/>
            <w:szCs w:val="22"/>
            <w:u w:val="single"/>
          </w:rPr>
          <w:t xml:space="preserve">ikalypso.com.au</w:t>
        </w:r>
      </w:hyperlink>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036"/>
        <w:gridCol w:w="120"/>
        <w:gridCol w:w="3036"/>
        <w:gridCol w:w="120"/>
        <w:gridCol w:w="3036"/>
      </w:tblGrid>
      <w:tr>
        <w:tc>
          <w:tcPr>
            <w:tcW w:type="dxa" w:w="3036"/>
            <w:tcBorders>
              <w:top w:val="none" w:color="FFFFFF" w:sz="0"/>
              <w:left w:val="none" w:color="FFFFFF" w:sz="0"/>
              <w:bottom w:val="none" w:color="FFFFFF" w:sz="0"/>
              <w:right w:val="none" w:color="FFFFFF" w:sz="0"/>
            </w:tcBorders>
            <w:shd w:fill="E4020A" w:color="auto" w:val="clear"/>
            <w:tcMar>
              <w:top w:type="dxa" w:w="160"/>
              <w:left w:type="dxa" w:w="60"/>
              <w:bottom w:type="dxa" w:w="160"/>
              <w:right w:type="dxa" w:w="60"/>
            </w:tcMar>
          </w:tcPr>
          <w:p>
            <w:pPr>
              <w:jc w:val="center"/>
            </w:pPr>
            <w:hyperlink w:history="1" r:id="rIdlihhwidfj5eqodgf0kalr">
              <w:r>
                <w:rPr>
                  <w:rFonts w:ascii="Calibri" w:cs="Calibri" w:eastAsia="Calibri" w:hAnsi="Calibri"/>
                  <w:b/>
                  <w:bCs/>
                  <w:color w:val="FFFFFF"/>
                  <w:sz w:val="20"/>
                  <w:szCs w:val="20"/>
                </w:rPr>
                <w:t xml:space="preserve">APPLY</w:t>
              </w:r>
            </w:hyperlink>
          </w:p>
        </w:tc>
        <w:tc>
          <w:tcPr>
            <w:tcW w:type="dxa" w:w="120"/>
            <w:tcBorders>
              <w:top w:val="none" w:color="FFFFFF" w:sz="0"/>
              <w:left w:val="none" w:color="FFFFFF" w:sz="0"/>
              <w:bottom w:val="none" w:color="FFFFFF" w:sz="0"/>
              <w:right w:val="none" w:color="FFFFFF" w:sz="0"/>
            </w:tcBorders>
          </w:tcPr>
          <w:p/>
        </w:tc>
        <w:tc>
          <w:tcPr>
            <w:tcW w:type="dxa" w:w="3036"/>
            <w:tcBorders>
              <w:top w:val="none" w:color="FFFFFF" w:sz="0"/>
              <w:left w:val="none" w:color="FFFFFF" w:sz="0"/>
              <w:bottom w:val="none" w:color="FFFFFF" w:sz="0"/>
              <w:right w:val="none" w:color="FFFFFF" w:sz="0"/>
            </w:tcBorders>
            <w:shd w:fill="C97C3B" w:color="auto" w:val="clear"/>
            <w:tcMar>
              <w:top w:type="dxa" w:w="160"/>
              <w:left w:type="dxa" w:w="60"/>
              <w:bottom w:type="dxa" w:w="160"/>
              <w:right w:type="dxa" w:w="60"/>
            </w:tcMar>
          </w:tcPr>
          <w:p>
            <w:pPr>
              <w:jc w:val="center"/>
            </w:pPr>
            <w:hyperlink w:history="1" r:id="rIdgoa4lmv7pmlo3yizjmom8">
              <w:r>
                <w:rPr>
                  <w:rFonts w:ascii="Calibri" w:cs="Calibri" w:eastAsia="Calibri" w:hAnsi="Calibri"/>
                  <w:b/>
                  <w:bCs/>
                  <w:color w:val="FFFFFF"/>
                  <w:sz w:val="20"/>
                  <w:szCs w:val="20"/>
                </w:rPr>
                <w:t xml:space="preserve">Get a Quote</w:t>
              </w:r>
            </w:hyperlink>
          </w:p>
        </w:tc>
        <w:tc>
          <w:tcPr>
            <w:tcW w:type="dxa" w:w="120"/>
            <w:tcBorders>
              <w:top w:val="none" w:color="FFFFFF" w:sz="0"/>
              <w:left w:val="none" w:color="FFFFFF" w:sz="0"/>
              <w:bottom w:val="none" w:color="FFFFFF" w:sz="0"/>
              <w:right w:val="none" w:color="FFFFFF" w:sz="0"/>
            </w:tcBorders>
          </w:tcPr>
          <w:p/>
        </w:tc>
        <w:tc>
          <w:tcPr>
            <w:tcW w:type="dxa" w:w="3036"/>
            <w:tcBorders>
              <w:top w:val="none" w:color="FFFFFF" w:sz="0"/>
              <w:left w:val="none" w:color="FFFFFF" w:sz="0"/>
              <w:bottom w:val="none" w:color="FFFFFF" w:sz="0"/>
              <w:right w:val="none" w:color="FFFFFF" w:sz="0"/>
            </w:tcBorders>
            <w:shd w:fill="A32B22" w:color="auto" w:val="clear"/>
            <w:tcMar>
              <w:top w:type="dxa" w:w="160"/>
              <w:left w:type="dxa" w:w="60"/>
              <w:bottom w:type="dxa" w:w="160"/>
              <w:right w:type="dxa" w:w="60"/>
            </w:tcMar>
          </w:tcPr>
          <w:p>
            <w:pPr>
              <w:jc w:val="center"/>
            </w:pPr>
            <w:hyperlink w:history="1" r:id="rIddyllrfy5wtnxviukkr2pz">
              <w:r>
                <w:rPr>
                  <w:rFonts w:ascii="Calibri" w:cs="Calibri" w:eastAsia="Calibri" w:hAnsi="Calibri"/>
                  <w:b/>
                  <w:bCs/>
                  <w:color w:val="FFFFFF"/>
                  <w:sz w:val="20"/>
                  <w:szCs w:val="20"/>
                </w:rPr>
                <w:t xml:space="preserve">Speak to an Agent</w:t>
              </w:r>
            </w:hyperlink>
          </w:p>
        </w:tc>
      </w:tr>
    </w:tbl>
    <w:p>
      <w:pPr>
        <w:spacing w:before="280"/>
      </w:pPr>
      <w:hyperlink w:history="1" r:id="rId3x94tzkz8v1xksyic8lhg">
        <w:r>
          <w:drawing>
            <wp:inline distT="0" distB="0" distL="0" distR="0">
              <wp:extent cx="1428750" cy="476250"/>
              <wp:effectExtent t="0" r="0" b="0" l="0"/>
              <wp:docPr id="1" name="" descr="" title="">
                <a:hlinkClick xmlns:a="http://schemas.openxmlformats.org/drawingml/2006/main" r:id="rId3x94tzkz8v1xksyic8lh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a:hlinkClick r:id="rId3x94tzkz8v1xksyic8lhg"/>
                      </pic:cNvPr>
                      <pic:cNvPicPr>
                        <a:picLocks noChangeAspect="1" noChangeArrowheads="1"/>
                      </pic:cNvPicPr>
                    </pic:nvPicPr>
                    <pic:blipFill>
                      <a:blip r:embed="rId8" cstate="none"/>
                      <a:srcRect/>
                      <a:stretch>
                        <a:fillRect/>
                      </a:stretch>
                    </pic:blipFill>
                    <pic:spPr bwMode="auto">
                      <a:xfrm>
                        <a:off x="0" y="0"/>
                        <a:ext cx="1428750" cy="476250"/>
                      </a:xfrm>
                      <a:prstGeom prst="rect">
                        <a:avLst/>
                      </a:prstGeom>
                    </pic:spPr>
                  </pic:pic>
                </a:graphicData>
              </a:graphic>
            </wp:inline>
          </w:drawing>
        </w:r>
      </w:hyperlink>
    </w:p>
    <w:sectPr>
      <w:pgSz w:w="11906" w:h="16838" w:orient="portrait"/>
      <w:pgMar w:top="1000" w:right="1280" w:bottom="1000" w:left="12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2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du_6vhntwwnpaltvqzle" Type="http://schemas.openxmlformats.org/officeDocument/2006/relationships/hyperlink" Target="https://www.ikalypso.com" TargetMode="External"/><Relationship Id="rIdti7jsvfht3lohmbz2-8gb" Type="http://schemas.openxmlformats.org/officeDocument/2006/relationships/hyperlink" Target="https://www.ikalypso.com" TargetMode="External"/><Relationship Id="rIdtgqw-cfyuv0f_hpf9e-og" Type="http://schemas.openxmlformats.org/officeDocument/2006/relationships/hyperlink" Target="https://www.ikalypso.com?currency=EUR" TargetMode="External"/><Relationship Id="rIdx1npr9ub3aihbcldrxpgs" Type="http://schemas.openxmlformats.org/officeDocument/2006/relationships/hyperlink" Target="https://www.ikalypso.com?currency=GBP" TargetMode="External"/><Relationship Id="rIdh_e4uyedltdgyofsthzgc" Type="http://schemas.openxmlformats.org/officeDocument/2006/relationships/hyperlink" Target="https://www.ikalypso.com?currency=USD" TargetMode="External"/><Relationship Id="rIdmee5gk8qdlvs280o_ka2f" Type="http://schemas.openxmlformats.org/officeDocument/2006/relationships/hyperlink" Target="https://www.ikalypso.com?currency=AUD" TargetMode="External"/><Relationship Id="rIdw0hrbm4zeh9m75yqhvves" Type="http://schemas.openxmlformats.org/officeDocument/2006/relationships/hyperlink" Target="https://www.ikalypso.com?currency=AUD" TargetMode="External"/><Relationship Id="rIdyo6aw7jqid13j9jajeyop" Type="http://schemas.openxmlformats.org/officeDocument/2006/relationships/hyperlink" Target="https://www.ikalypso.com?currency=AUD" TargetMode="External"/><Relationship Id="rIdsssinw569lgem10o9d3ed" Type="http://schemas.openxmlformats.org/officeDocument/2006/relationships/hyperlink" Target="https://www.ikalypso.com" TargetMode="External"/><Relationship Id="rIdowp_dt0uofv6myrqe6ysd" Type="http://schemas.openxmlformats.org/officeDocument/2006/relationships/hyperlink" Target="mailto:customer-care@ikalypso.com" TargetMode="External"/><Relationship Id="rIdeckzt7vni1awum996tesc" Type="http://schemas.openxmlformats.org/officeDocument/2006/relationships/hyperlink" Target="mailto:customer-care@ikalypso.com" TargetMode="External"/><Relationship Id="rIdkbawzn84sv3eagrj--o28" Type="http://schemas.openxmlformats.org/officeDocument/2006/relationships/hyperlink" Target="https://www.ikalypso.com" TargetMode="External"/><Relationship Id="rIdlihhwidfj5eqodgf0kalr" Type="http://schemas.openxmlformats.org/officeDocument/2006/relationships/hyperlink" Target="https://www.ikalypso.com" TargetMode="External"/><Relationship Id="rIdgoa4lmv7pmlo3yizjmom8" Type="http://schemas.openxmlformats.org/officeDocument/2006/relationships/hyperlink" Target="https://www.ikalypso.com" TargetMode="External"/><Relationship Id="rIddyllrfy5wtnxviukkr2pz" Type="http://schemas.openxmlformats.org/officeDocument/2006/relationships/hyperlink" Target="mailto:customer-care@ikalypso.com" TargetMode="External"/><Relationship Id="rId3x94tzkz8v1xksyic8lhg" Type="http://schemas.openxmlformats.org/officeDocument/2006/relationships/hyperlink" Target="https://www.ikalypso.com" TargetMode="External"/><Relationship Id="rId7" Type="http://schemas.openxmlformats.org/officeDocument/2006/relationships/image" Target="media/40e2ef2af3c51f284208dae3078125cda987a1cb.png"/><Relationship Id="rId8" Type="http://schemas.openxmlformats.org/officeDocument/2006/relationships/image" Target="media/f9647f8b5f98e751160bd0b9f8e432fd0441993d.png"/><Relationship Id="rId9" Type="http://schemas.openxmlformats.org/officeDocument/2006/relationships/image" Target="media/fb640d40e3d6e7cd6da54318d58c08d918eb2557.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2026-08-09T20:55:47.381Z</dcterms:created>
  <dcterms:modified xsi:type="dcterms:W3CDTF">2026-08-09T20:55:47.381Z</dcterms:modified>
</cp:coreProperties>
</file>

<file path=docProps/custom.xml><?xml version="1.0" encoding="utf-8"?>
<Properties xmlns="http://schemas.openxmlformats.org/officeDocument/2006/custom-properties" xmlns:vt="http://schemas.openxmlformats.org/officeDocument/2006/docPropsVTypes"/>
</file>